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C48E" w14:textId="2FD570D2" w:rsidR="0084102B" w:rsidRDefault="006D47BA" w:rsidP="002D3E16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D3E16">
        <w:rPr>
          <w:rFonts w:ascii="標楷體" w:eastAsia="標楷體" w:hAnsi="標楷體" w:hint="eastAsia"/>
          <w:b/>
          <w:bCs/>
          <w:sz w:val="36"/>
          <w:szCs w:val="36"/>
        </w:rPr>
        <w:t>花蓮縣</w:t>
      </w:r>
      <w:r w:rsidR="00735AF8">
        <w:rPr>
          <w:rFonts w:ascii="標楷體" w:eastAsia="標楷體" w:hAnsi="標楷體" w:hint="eastAsia"/>
          <w:b/>
          <w:bCs/>
          <w:sz w:val="36"/>
          <w:szCs w:val="36"/>
        </w:rPr>
        <w:t>政府</w:t>
      </w:r>
      <w:r w:rsidRPr="002D3E16">
        <w:rPr>
          <w:rFonts w:ascii="標楷體" w:eastAsia="標楷體" w:hAnsi="標楷體" w:hint="eastAsia"/>
          <w:b/>
          <w:bCs/>
          <w:sz w:val="36"/>
          <w:szCs w:val="36"/>
        </w:rPr>
        <w:t>受理居家托育服務中心反映事件處理機制</w:t>
      </w:r>
    </w:p>
    <w:p w14:paraId="4A507BD5" w14:textId="52363ED2" w:rsidR="002D3E16" w:rsidRPr="00F74678" w:rsidRDefault="002D3E16" w:rsidP="002D3E16">
      <w:pPr>
        <w:spacing w:after="0" w:line="240" w:lineRule="auto"/>
        <w:jc w:val="right"/>
        <w:rPr>
          <w:rFonts w:ascii="標楷體" w:eastAsia="標楷體" w:hAnsi="標楷體"/>
          <w:sz w:val="20"/>
          <w:szCs w:val="20"/>
        </w:rPr>
      </w:pPr>
      <w:r w:rsidRPr="00F74678">
        <w:rPr>
          <w:rFonts w:ascii="標楷體" w:eastAsia="標楷體" w:hAnsi="標楷體" w:hint="eastAsia"/>
          <w:sz w:val="20"/>
          <w:szCs w:val="20"/>
        </w:rPr>
        <w:t xml:space="preserve">中華民國114年 </w:t>
      </w:r>
      <w:r w:rsidR="00691304">
        <w:rPr>
          <w:rFonts w:ascii="標楷體" w:eastAsia="標楷體" w:hAnsi="標楷體" w:hint="eastAsia"/>
          <w:sz w:val="20"/>
          <w:szCs w:val="20"/>
        </w:rPr>
        <w:t>9</w:t>
      </w:r>
      <w:r w:rsidRPr="00F74678">
        <w:rPr>
          <w:rFonts w:ascii="標楷體" w:eastAsia="標楷體" w:hAnsi="標楷體" w:hint="eastAsia"/>
          <w:sz w:val="20"/>
          <w:szCs w:val="20"/>
        </w:rPr>
        <w:t>月</w:t>
      </w:r>
      <w:r w:rsidR="00691304">
        <w:rPr>
          <w:rFonts w:ascii="標楷體" w:eastAsia="標楷體" w:hAnsi="標楷體" w:hint="eastAsia"/>
          <w:sz w:val="20"/>
          <w:szCs w:val="20"/>
        </w:rPr>
        <w:t>25</w:t>
      </w:r>
      <w:r w:rsidRPr="00F74678">
        <w:rPr>
          <w:rFonts w:ascii="標楷體" w:eastAsia="標楷體" w:hAnsi="標楷體" w:hint="eastAsia"/>
          <w:sz w:val="20"/>
          <w:szCs w:val="20"/>
        </w:rPr>
        <w:t xml:space="preserve"> </w:t>
      </w:r>
      <w:proofErr w:type="gramStart"/>
      <w:r w:rsidRPr="00F74678">
        <w:rPr>
          <w:rFonts w:ascii="標楷體" w:eastAsia="標楷體" w:hAnsi="標楷體" w:hint="eastAsia"/>
          <w:sz w:val="20"/>
          <w:szCs w:val="20"/>
        </w:rPr>
        <w:t>日府社婦字</w:t>
      </w:r>
      <w:proofErr w:type="gramEnd"/>
      <w:r w:rsidRPr="00F74678">
        <w:rPr>
          <w:rFonts w:ascii="標楷體" w:eastAsia="標楷體" w:hAnsi="標楷體" w:hint="eastAsia"/>
          <w:sz w:val="20"/>
          <w:szCs w:val="20"/>
        </w:rPr>
        <w:t>第</w:t>
      </w:r>
      <w:r w:rsidR="00691304" w:rsidRPr="00691304">
        <w:rPr>
          <w:rFonts w:ascii="標楷體" w:eastAsia="標楷體" w:hAnsi="標楷體" w:hint="eastAsia"/>
          <w:sz w:val="20"/>
          <w:szCs w:val="20"/>
        </w:rPr>
        <w:t>1140194309</w:t>
      </w:r>
      <w:r w:rsidRPr="00F74678">
        <w:rPr>
          <w:rFonts w:ascii="標楷體" w:eastAsia="標楷體" w:hAnsi="標楷體" w:hint="eastAsia"/>
          <w:sz w:val="20"/>
          <w:szCs w:val="20"/>
        </w:rPr>
        <w:t>號訂定</w:t>
      </w:r>
    </w:p>
    <w:p w14:paraId="6261A24B" w14:textId="77777777" w:rsidR="00F74678" w:rsidRPr="002D3E16" w:rsidRDefault="00F74678" w:rsidP="002D3E16">
      <w:pPr>
        <w:spacing w:after="0" w:line="240" w:lineRule="auto"/>
        <w:jc w:val="right"/>
        <w:rPr>
          <w:rFonts w:ascii="標楷體" w:eastAsia="標楷體" w:hAnsi="標楷體"/>
        </w:rPr>
      </w:pPr>
    </w:p>
    <w:p w14:paraId="2AD9946D" w14:textId="6FD94E2C" w:rsidR="003E5552" w:rsidRPr="007D07D0" w:rsidRDefault="003E5552" w:rsidP="007228C8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7D07D0">
        <w:rPr>
          <w:rFonts w:ascii="標楷體" w:eastAsia="標楷體" w:hAnsi="標楷體" w:hint="eastAsia"/>
          <w:sz w:val="28"/>
          <w:szCs w:val="28"/>
        </w:rPr>
        <w:t>花蓮縣政府（以下簡稱本府）為</w:t>
      </w:r>
      <w:r w:rsidR="00F5221E" w:rsidRPr="00F5221E">
        <w:rPr>
          <w:rFonts w:ascii="標楷體" w:eastAsia="標楷體" w:hAnsi="標楷體" w:hint="eastAsia"/>
          <w:sz w:val="28"/>
          <w:szCs w:val="28"/>
        </w:rPr>
        <w:t>維護居家托育服務品質，保障家長、托育人員及收托兒童權益</w:t>
      </w:r>
      <w:r w:rsidR="00F5221E">
        <w:rPr>
          <w:rFonts w:ascii="標楷體" w:eastAsia="標楷體" w:hAnsi="標楷體" w:hint="eastAsia"/>
          <w:sz w:val="28"/>
          <w:szCs w:val="28"/>
        </w:rPr>
        <w:t>，建立</w:t>
      </w:r>
      <w:r w:rsidRPr="007D07D0">
        <w:rPr>
          <w:rFonts w:ascii="標楷體" w:eastAsia="標楷體" w:hAnsi="標楷體" w:hint="eastAsia"/>
          <w:sz w:val="28"/>
          <w:szCs w:val="28"/>
        </w:rPr>
        <w:t>受理本縣居家托育服務之反</w:t>
      </w:r>
      <w:r w:rsidR="0089607A">
        <w:rPr>
          <w:rFonts w:ascii="標楷體" w:eastAsia="標楷體" w:hAnsi="標楷體" w:hint="eastAsia"/>
          <w:sz w:val="28"/>
          <w:szCs w:val="28"/>
        </w:rPr>
        <w:t>映</w:t>
      </w:r>
      <w:r w:rsidRPr="007D07D0">
        <w:rPr>
          <w:rFonts w:ascii="標楷體" w:eastAsia="標楷體" w:hAnsi="標楷體" w:hint="eastAsia"/>
          <w:sz w:val="28"/>
          <w:szCs w:val="28"/>
        </w:rPr>
        <w:t>事件，</w:t>
      </w:r>
      <w:proofErr w:type="gramStart"/>
      <w:r w:rsidR="00B87BC2" w:rsidRPr="007D07D0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B87BC2" w:rsidRPr="007D07D0">
        <w:rPr>
          <w:rFonts w:ascii="標楷體" w:eastAsia="標楷體" w:hAnsi="標楷體" w:hint="eastAsia"/>
          <w:sz w:val="28"/>
          <w:szCs w:val="28"/>
        </w:rPr>
        <w:t>訂定本機制。</w:t>
      </w:r>
    </w:p>
    <w:p w14:paraId="3A64F4C3" w14:textId="31FC902B" w:rsidR="00F73215" w:rsidRPr="009E0170" w:rsidRDefault="00B87BC2" w:rsidP="007228C8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7D07D0">
        <w:rPr>
          <w:rFonts w:ascii="標楷體" w:eastAsia="標楷體" w:hAnsi="標楷體" w:hint="eastAsia"/>
          <w:sz w:val="28"/>
          <w:szCs w:val="28"/>
        </w:rPr>
        <w:t>本機制提出對象為居家托育服務中心工作人員及托育人員</w:t>
      </w:r>
      <w:r w:rsidR="00E61A75">
        <w:rPr>
          <w:rFonts w:ascii="標楷體" w:eastAsia="標楷體" w:hAnsi="標楷體" w:hint="eastAsia"/>
          <w:sz w:val="28"/>
          <w:szCs w:val="28"/>
        </w:rPr>
        <w:t>。</w:t>
      </w:r>
      <w:r w:rsidR="00930BBD" w:rsidRPr="00930BBD">
        <w:rPr>
          <w:rFonts w:ascii="標楷體" w:eastAsia="標楷體" w:hAnsi="標楷體" w:hint="eastAsia"/>
          <w:sz w:val="28"/>
          <w:szCs w:val="28"/>
        </w:rPr>
        <w:t>如</w:t>
      </w:r>
      <w:proofErr w:type="gramStart"/>
      <w:r w:rsidR="00930BBD" w:rsidRPr="00930BBD">
        <w:rPr>
          <w:rFonts w:ascii="標楷體" w:eastAsia="標楷體" w:hAnsi="標楷體" w:hint="eastAsia"/>
          <w:sz w:val="28"/>
          <w:szCs w:val="28"/>
        </w:rPr>
        <w:t>為送托家長</w:t>
      </w:r>
      <w:proofErr w:type="gramEnd"/>
      <w:r w:rsidR="00E61A75">
        <w:rPr>
          <w:rFonts w:ascii="標楷體" w:eastAsia="標楷體" w:hAnsi="標楷體" w:hint="eastAsia"/>
          <w:sz w:val="28"/>
          <w:szCs w:val="28"/>
        </w:rPr>
        <w:t>向本府</w:t>
      </w:r>
      <w:r w:rsidR="00930BBD" w:rsidRPr="00930BBD">
        <w:rPr>
          <w:rFonts w:ascii="標楷體" w:eastAsia="標楷體" w:hAnsi="標楷體" w:hint="eastAsia"/>
          <w:sz w:val="28"/>
          <w:szCs w:val="28"/>
        </w:rPr>
        <w:t>反映事項，</w:t>
      </w:r>
      <w:proofErr w:type="gramStart"/>
      <w:r w:rsidR="00E61A75">
        <w:rPr>
          <w:rFonts w:ascii="標楷體" w:eastAsia="標楷體" w:hAnsi="標楷體" w:hint="eastAsia"/>
          <w:sz w:val="28"/>
          <w:szCs w:val="28"/>
        </w:rPr>
        <w:t>本府經檢視</w:t>
      </w:r>
      <w:proofErr w:type="gramEnd"/>
      <w:r w:rsidR="00E61A75">
        <w:rPr>
          <w:rFonts w:ascii="標楷體" w:eastAsia="標楷體" w:hAnsi="標楷體" w:hint="eastAsia"/>
          <w:sz w:val="28"/>
          <w:szCs w:val="28"/>
        </w:rPr>
        <w:t>事由後，依本機制內容處理，</w:t>
      </w:r>
      <w:r w:rsidR="00930BBD" w:rsidRPr="00930BBD">
        <w:rPr>
          <w:rFonts w:ascii="標楷體" w:eastAsia="標楷體" w:hAnsi="標楷體" w:hint="eastAsia"/>
          <w:sz w:val="28"/>
          <w:szCs w:val="28"/>
        </w:rPr>
        <w:t>應先向居家托育服務中心提出，由中心進行初步處理及評估；經中心處理後仍需提報者，始得由本府受理。</w:t>
      </w:r>
    </w:p>
    <w:p w14:paraId="6282E9A2" w14:textId="412DF84C" w:rsidR="002D3E16" w:rsidRPr="00B73131" w:rsidRDefault="00B73131" w:rsidP="00B73131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前點</w:t>
      </w:r>
      <w:r w:rsidR="00B87BC2" w:rsidRPr="00B73131">
        <w:rPr>
          <w:rFonts w:ascii="標楷體" w:eastAsia="標楷體" w:hAnsi="標楷體" w:hint="eastAsia"/>
          <w:sz w:val="28"/>
          <w:szCs w:val="28"/>
        </w:rPr>
        <w:t>所列人員對於居家托育服務中心所提供服務內容、管理方式等相關事項，認有不當或損及自身、服務對象權益時，得提列具體事實及相關資料，以書面、電話等方式，向本府提出反映。</w:t>
      </w:r>
    </w:p>
    <w:p w14:paraId="63BDB4CF" w14:textId="097D7DF9" w:rsidR="002D3E16" w:rsidRPr="007D07D0" w:rsidRDefault="002D3E16" w:rsidP="007228C8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7D07D0">
        <w:rPr>
          <w:rFonts w:ascii="標楷體" w:eastAsia="標楷體" w:hAnsi="標楷體" w:hint="eastAsia"/>
          <w:sz w:val="28"/>
          <w:szCs w:val="28"/>
        </w:rPr>
        <w:t>本府接獲反映案件時，須於</w:t>
      </w:r>
      <w:r w:rsidR="00930BBD">
        <w:rPr>
          <w:rFonts w:ascii="標楷體" w:eastAsia="標楷體" w:hAnsi="標楷體" w:hint="eastAsia"/>
          <w:sz w:val="28"/>
          <w:szCs w:val="28"/>
        </w:rPr>
        <w:t>24小時</w:t>
      </w:r>
      <w:r w:rsidRPr="007D07D0">
        <w:rPr>
          <w:rFonts w:ascii="標楷體" w:eastAsia="標楷體" w:hAnsi="標楷體" w:hint="eastAsia"/>
          <w:sz w:val="28"/>
          <w:szCs w:val="28"/>
        </w:rPr>
        <w:t>內依反</w:t>
      </w:r>
      <w:r w:rsidR="00930BBD">
        <w:rPr>
          <w:rFonts w:ascii="標楷體" w:eastAsia="標楷體" w:hAnsi="標楷體" w:hint="eastAsia"/>
          <w:sz w:val="28"/>
          <w:szCs w:val="28"/>
        </w:rPr>
        <w:t>映</w:t>
      </w:r>
      <w:r w:rsidRPr="007D07D0">
        <w:rPr>
          <w:rFonts w:ascii="標楷體" w:eastAsia="標楷體" w:hAnsi="標楷體" w:hint="eastAsia"/>
          <w:sz w:val="28"/>
          <w:szCs w:val="28"/>
        </w:rPr>
        <w:t>者提供之聯繫方式向其確認反映內容，必要時得請其補正資料，</w:t>
      </w:r>
      <w:r w:rsidR="00930BBD">
        <w:rPr>
          <w:rFonts w:ascii="標楷體" w:eastAsia="標楷體" w:hAnsi="標楷體" w:hint="eastAsia"/>
          <w:sz w:val="28"/>
          <w:szCs w:val="28"/>
        </w:rPr>
        <w:t>並</w:t>
      </w:r>
      <w:r w:rsidRPr="007D07D0">
        <w:rPr>
          <w:rFonts w:ascii="標楷體" w:eastAsia="標楷體" w:hAnsi="標楷體" w:hint="eastAsia"/>
          <w:sz w:val="28"/>
          <w:szCs w:val="28"/>
        </w:rPr>
        <w:t>通知相關機關(單位)協處或提供相關資料</w:t>
      </w:r>
      <w:r w:rsidR="00643A11">
        <w:rPr>
          <w:rFonts w:ascii="標楷體" w:eastAsia="標楷體" w:hAnsi="標楷體" w:hint="eastAsia"/>
          <w:sz w:val="28"/>
          <w:szCs w:val="28"/>
        </w:rPr>
        <w:t>，如為疑似</w:t>
      </w:r>
      <w:r w:rsidR="00643A11" w:rsidRPr="00643A11">
        <w:rPr>
          <w:rFonts w:ascii="標楷體" w:eastAsia="標楷體" w:hAnsi="標楷體" w:hint="eastAsia"/>
          <w:sz w:val="28"/>
          <w:szCs w:val="28"/>
        </w:rPr>
        <w:t>虐待或不當對待案件</w:t>
      </w:r>
      <w:r w:rsidR="00643A11">
        <w:rPr>
          <w:rFonts w:ascii="標楷體" w:eastAsia="標楷體" w:hAnsi="標楷體" w:hint="eastAsia"/>
          <w:sz w:val="28"/>
          <w:szCs w:val="28"/>
        </w:rPr>
        <w:t>應依</w:t>
      </w:r>
      <w:r w:rsidR="00643A11" w:rsidRPr="00643A11">
        <w:rPr>
          <w:rFonts w:ascii="標楷體" w:eastAsia="標楷體" w:hAnsi="標楷體" w:hint="eastAsia"/>
          <w:sz w:val="28"/>
          <w:szCs w:val="28"/>
        </w:rPr>
        <w:t>直轄市、縣(市)政府辦理居家托育人員疑似虐待或不當對待案件處理原則暨流程</w:t>
      </w:r>
      <w:r w:rsidR="00643A11">
        <w:rPr>
          <w:rFonts w:ascii="標楷體" w:eastAsia="標楷體" w:hAnsi="標楷體" w:hint="eastAsia"/>
          <w:sz w:val="28"/>
          <w:szCs w:val="28"/>
        </w:rPr>
        <w:t>處理</w:t>
      </w:r>
      <w:r w:rsidRPr="007D07D0">
        <w:rPr>
          <w:rFonts w:ascii="標楷體" w:eastAsia="標楷體" w:hAnsi="標楷體" w:hint="eastAsia"/>
          <w:sz w:val="28"/>
          <w:szCs w:val="28"/>
        </w:rPr>
        <w:t>。</w:t>
      </w:r>
    </w:p>
    <w:p w14:paraId="769F165A" w14:textId="197993E4" w:rsidR="00C62C98" w:rsidRDefault="00FC4908" w:rsidP="007228C8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反映</w:t>
      </w:r>
      <w:r w:rsidR="00C62C98" w:rsidRPr="00C62C98">
        <w:rPr>
          <w:rFonts w:ascii="標楷體" w:eastAsia="標楷體" w:hAnsi="標楷體" w:hint="eastAsia"/>
          <w:sz w:val="28"/>
          <w:szCs w:val="28"/>
        </w:rPr>
        <w:t>資料如不齊全者，</w:t>
      </w:r>
      <w:proofErr w:type="gramStart"/>
      <w:r w:rsidR="00C62C98" w:rsidRPr="00C62C98">
        <w:rPr>
          <w:rFonts w:ascii="標楷體" w:eastAsia="標楷體" w:hAnsi="標楷體" w:hint="eastAsia"/>
          <w:sz w:val="28"/>
          <w:szCs w:val="28"/>
        </w:rPr>
        <w:t>本府得通知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反映</w:t>
      </w:r>
      <w:r w:rsidR="00C62C98" w:rsidRPr="00C62C98">
        <w:rPr>
          <w:rFonts w:ascii="標楷體" w:eastAsia="標楷體" w:hAnsi="標楷體" w:hint="eastAsia"/>
          <w:sz w:val="28"/>
          <w:szCs w:val="28"/>
        </w:rPr>
        <w:t>人補正，並應於</w:t>
      </w:r>
      <w:r w:rsidR="00643A11">
        <w:rPr>
          <w:rFonts w:ascii="標楷體" w:eastAsia="標楷體" w:hAnsi="標楷體" w:hint="eastAsia"/>
          <w:sz w:val="28"/>
          <w:szCs w:val="28"/>
        </w:rPr>
        <w:t>7個日曆天</w:t>
      </w:r>
      <w:r w:rsidR="00C62C98" w:rsidRPr="00C62C98">
        <w:rPr>
          <w:rFonts w:ascii="標楷體" w:eastAsia="標楷體" w:hAnsi="標楷體" w:hint="eastAsia"/>
          <w:sz w:val="28"/>
          <w:szCs w:val="28"/>
        </w:rPr>
        <w:t>內完成補正，屆期未補正者視同撤回</w:t>
      </w:r>
      <w:r>
        <w:rPr>
          <w:rFonts w:ascii="標楷體" w:eastAsia="標楷體" w:hAnsi="標楷體" w:hint="eastAsia"/>
          <w:sz w:val="28"/>
          <w:szCs w:val="28"/>
        </w:rPr>
        <w:t>反映</w:t>
      </w:r>
      <w:r w:rsidR="00C62C98" w:rsidRPr="00C62C98">
        <w:rPr>
          <w:rFonts w:ascii="標楷體" w:eastAsia="標楷體" w:hAnsi="標楷體" w:hint="eastAsia"/>
          <w:sz w:val="28"/>
          <w:szCs w:val="28"/>
        </w:rPr>
        <w:t>。</w:t>
      </w:r>
    </w:p>
    <w:p w14:paraId="56B5A50E" w14:textId="724221F1" w:rsidR="002D3E16" w:rsidRPr="007D07D0" w:rsidRDefault="00FC4908" w:rsidP="007228C8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反映</w:t>
      </w:r>
      <w:r w:rsidR="002D3E16" w:rsidRPr="007D07D0">
        <w:rPr>
          <w:rFonts w:ascii="標楷體" w:eastAsia="標楷體" w:hAnsi="標楷體"/>
          <w:sz w:val="28"/>
          <w:szCs w:val="28"/>
        </w:rPr>
        <w:t>案件有下列情形者不予受理：</w:t>
      </w:r>
    </w:p>
    <w:p w14:paraId="77D741DD" w14:textId="5B636432" w:rsidR="002D3E16" w:rsidRDefault="002D3E16" w:rsidP="007228C8">
      <w:pPr>
        <w:pStyle w:val="a9"/>
        <w:numPr>
          <w:ilvl w:val="0"/>
          <w:numId w:val="2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7D07D0">
        <w:rPr>
          <w:rFonts w:ascii="標楷體" w:eastAsia="標楷體" w:hAnsi="標楷體"/>
          <w:sz w:val="28"/>
          <w:szCs w:val="28"/>
        </w:rPr>
        <w:t>所提供之資料不全，無法調查</w:t>
      </w:r>
      <w:r w:rsidR="00112449">
        <w:rPr>
          <w:rFonts w:ascii="標楷體" w:eastAsia="標楷體" w:hAnsi="標楷體" w:hint="eastAsia"/>
          <w:sz w:val="28"/>
          <w:szCs w:val="28"/>
        </w:rPr>
        <w:t>。</w:t>
      </w:r>
    </w:p>
    <w:p w14:paraId="2690EEBC" w14:textId="6EB64377" w:rsidR="002D3E16" w:rsidRPr="00112449" w:rsidRDefault="002D3E16" w:rsidP="00112449">
      <w:pPr>
        <w:pStyle w:val="a9"/>
        <w:numPr>
          <w:ilvl w:val="0"/>
          <w:numId w:val="2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112449">
        <w:rPr>
          <w:rFonts w:ascii="標楷體" w:eastAsia="標楷體" w:hAnsi="標楷體" w:hint="eastAsia"/>
          <w:sz w:val="28"/>
          <w:szCs w:val="28"/>
        </w:rPr>
        <w:t>反映事件要求顯不合理。</w:t>
      </w:r>
    </w:p>
    <w:p w14:paraId="47EE3787" w14:textId="3932E467" w:rsidR="002D3E16" w:rsidRPr="007D07D0" w:rsidRDefault="002D3E16" w:rsidP="007228C8">
      <w:pPr>
        <w:pStyle w:val="a9"/>
        <w:numPr>
          <w:ilvl w:val="0"/>
          <w:numId w:val="2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7D07D0">
        <w:rPr>
          <w:rFonts w:ascii="標楷體" w:eastAsia="標楷體" w:hAnsi="標楷體" w:hint="eastAsia"/>
          <w:sz w:val="28"/>
          <w:szCs w:val="28"/>
        </w:rPr>
        <w:t>反映事件無新事證而重複反映。</w:t>
      </w:r>
    </w:p>
    <w:p w14:paraId="3B5762DC" w14:textId="425FC48C" w:rsidR="002D3E16" w:rsidRPr="00112449" w:rsidRDefault="002D3E16" w:rsidP="00112449">
      <w:pPr>
        <w:pStyle w:val="a9"/>
        <w:numPr>
          <w:ilvl w:val="0"/>
          <w:numId w:val="2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112449">
        <w:rPr>
          <w:rFonts w:ascii="標楷體" w:eastAsia="標楷體" w:hAnsi="標楷體" w:hint="eastAsia"/>
          <w:sz w:val="28"/>
          <w:szCs w:val="28"/>
        </w:rPr>
        <w:t>反映案件內容非屬</w:t>
      </w:r>
      <w:proofErr w:type="gramStart"/>
      <w:r w:rsidRPr="00112449">
        <w:rPr>
          <w:rFonts w:ascii="標楷體" w:eastAsia="標楷體" w:hAnsi="標楷體" w:hint="eastAsia"/>
          <w:sz w:val="28"/>
          <w:szCs w:val="28"/>
        </w:rPr>
        <w:t>本府權管</w:t>
      </w:r>
      <w:proofErr w:type="gramEnd"/>
      <w:r w:rsidRPr="00112449">
        <w:rPr>
          <w:rFonts w:ascii="標楷體" w:eastAsia="標楷體" w:hAnsi="標楷體" w:hint="eastAsia"/>
          <w:sz w:val="28"/>
          <w:szCs w:val="28"/>
        </w:rPr>
        <w:t>範圍。</w:t>
      </w:r>
    </w:p>
    <w:p w14:paraId="40584B59" w14:textId="4A4B29E5" w:rsidR="00C62C98" w:rsidRPr="00C62C98" w:rsidRDefault="002D3E16" w:rsidP="007228C8">
      <w:pPr>
        <w:pStyle w:val="a9"/>
        <w:numPr>
          <w:ilvl w:val="0"/>
          <w:numId w:val="2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7D07D0">
        <w:rPr>
          <w:rFonts w:ascii="標楷體" w:eastAsia="標楷體" w:hAnsi="標楷體" w:hint="eastAsia"/>
          <w:sz w:val="28"/>
          <w:szCs w:val="28"/>
        </w:rPr>
        <w:t>其他</w:t>
      </w:r>
      <w:r w:rsidR="00112449">
        <w:rPr>
          <w:rFonts w:ascii="標楷體" w:eastAsia="標楷體" w:hAnsi="標楷體" w:hint="eastAsia"/>
          <w:sz w:val="28"/>
          <w:szCs w:val="28"/>
        </w:rPr>
        <w:t>特別情形經本府認定，不予受理者</w:t>
      </w:r>
      <w:r w:rsidRPr="007D07D0">
        <w:rPr>
          <w:rFonts w:ascii="標楷體" w:eastAsia="標楷體" w:hAnsi="標楷體" w:hint="eastAsia"/>
          <w:sz w:val="28"/>
          <w:szCs w:val="28"/>
        </w:rPr>
        <w:t>。</w:t>
      </w:r>
    </w:p>
    <w:p w14:paraId="559A5671" w14:textId="7268FA54" w:rsidR="002D3E16" w:rsidRPr="007D07D0" w:rsidRDefault="002D3E16" w:rsidP="007228C8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7D07D0">
        <w:rPr>
          <w:rFonts w:ascii="標楷體" w:eastAsia="標楷體" w:hAnsi="標楷體" w:hint="eastAsia"/>
          <w:sz w:val="28"/>
          <w:szCs w:val="28"/>
        </w:rPr>
        <w:lastRenderedPageBreak/>
        <w:t>反映事件處理程序如下：</w:t>
      </w:r>
    </w:p>
    <w:p w14:paraId="1C1D6053" w14:textId="05EC3C7B" w:rsidR="00FC4908" w:rsidRDefault="00FC4908" w:rsidP="007228C8">
      <w:pPr>
        <w:pStyle w:val="a9"/>
        <w:numPr>
          <w:ilvl w:val="0"/>
          <w:numId w:val="3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本府自收到反映案件起</w:t>
      </w:r>
      <w:r w:rsidR="00491EB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個</w:t>
      </w:r>
      <w:r w:rsidR="00643A11">
        <w:rPr>
          <w:rFonts w:ascii="標楷體" w:eastAsia="標楷體" w:hAnsi="標楷體" w:hint="eastAsia"/>
          <w:sz w:val="28"/>
          <w:szCs w:val="28"/>
        </w:rPr>
        <w:t>日曆天</w:t>
      </w:r>
      <w:r>
        <w:rPr>
          <w:rFonts w:ascii="標楷體" w:eastAsia="標楷體" w:hAnsi="標楷體" w:hint="eastAsia"/>
          <w:sz w:val="28"/>
          <w:szCs w:val="28"/>
        </w:rPr>
        <w:t>內應向反映人確認反映事件內容及取得相關資料，</w:t>
      </w:r>
      <w:r w:rsidR="00782429">
        <w:rPr>
          <w:rFonts w:ascii="標楷體" w:eastAsia="標楷體" w:hAnsi="標楷體" w:hint="eastAsia"/>
          <w:sz w:val="28"/>
          <w:szCs w:val="28"/>
        </w:rPr>
        <w:t>始</w:t>
      </w:r>
      <w:r>
        <w:rPr>
          <w:rFonts w:ascii="標楷體" w:eastAsia="標楷體" w:hAnsi="標楷體" w:hint="eastAsia"/>
          <w:sz w:val="28"/>
          <w:szCs w:val="28"/>
        </w:rPr>
        <w:t>受理反映事件。</w:t>
      </w:r>
    </w:p>
    <w:p w14:paraId="795025B8" w14:textId="2C0B5C16" w:rsidR="002D3E16" w:rsidRPr="00FC4908" w:rsidRDefault="00FC4908" w:rsidP="007228C8">
      <w:pPr>
        <w:pStyle w:val="a9"/>
        <w:numPr>
          <w:ilvl w:val="0"/>
          <w:numId w:val="3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自反映事件受理日起</w:t>
      </w:r>
      <w:r w:rsidR="002D3E16" w:rsidRPr="007D07D0">
        <w:rPr>
          <w:rFonts w:ascii="標楷體" w:eastAsia="標楷體" w:hAnsi="標楷體" w:hint="eastAsia"/>
          <w:sz w:val="28"/>
          <w:szCs w:val="28"/>
        </w:rPr>
        <w:t>，</w:t>
      </w:r>
      <w:r w:rsidR="00643A11">
        <w:rPr>
          <w:rFonts w:ascii="標楷體" w:eastAsia="標楷體" w:hAnsi="標楷體" w:hint="eastAsia"/>
          <w:sz w:val="28"/>
          <w:szCs w:val="28"/>
        </w:rPr>
        <w:t>7</w:t>
      </w:r>
      <w:r w:rsidR="00643A11" w:rsidRPr="00643A11">
        <w:rPr>
          <w:rFonts w:ascii="標楷體" w:eastAsia="標楷體" w:hAnsi="標楷體" w:hint="eastAsia"/>
          <w:sz w:val="28"/>
          <w:szCs w:val="28"/>
        </w:rPr>
        <w:t>個日曆天</w:t>
      </w:r>
      <w:r w:rsidR="002D3E16" w:rsidRPr="007D07D0">
        <w:rPr>
          <w:rFonts w:ascii="標楷體" w:eastAsia="標楷體" w:hAnsi="標楷體" w:hint="eastAsia"/>
          <w:sz w:val="28"/>
          <w:szCs w:val="28"/>
        </w:rPr>
        <w:t>內應完成調查，必要時得延長之，並通知反映人，延長以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D3E16" w:rsidRPr="007D07D0">
        <w:rPr>
          <w:rFonts w:ascii="標楷體" w:eastAsia="標楷體" w:hAnsi="標楷體" w:hint="eastAsia"/>
          <w:sz w:val="28"/>
          <w:szCs w:val="28"/>
        </w:rPr>
        <w:t>次為限，時間以</w:t>
      </w:r>
      <w:proofErr w:type="gramStart"/>
      <w:r w:rsidR="002D3E16" w:rsidRPr="007D07D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2D3E16" w:rsidRPr="007D07D0">
        <w:rPr>
          <w:rFonts w:ascii="標楷體" w:eastAsia="標楷體" w:hAnsi="標楷體" w:hint="eastAsia"/>
          <w:sz w:val="28"/>
          <w:szCs w:val="28"/>
        </w:rPr>
        <w:t>逾</w:t>
      </w:r>
      <w:r w:rsidR="00A84452">
        <w:rPr>
          <w:rFonts w:ascii="標楷體" w:eastAsia="標楷體" w:hAnsi="標楷體" w:hint="eastAsia"/>
          <w:sz w:val="28"/>
          <w:szCs w:val="28"/>
        </w:rPr>
        <w:t>7</w:t>
      </w:r>
      <w:r w:rsidR="00A84452" w:rsidRPr="00643A11">
        <w:rPr>
          <w:rFonts w:ascii="標楷體" w:eastAsia="標楷體" w:hAnsi="標楷體" w:hint="eastAsia"/>
          <w:sz w:val="28"/>
          <w:szCs w:val="28"/>
        </w:rPr>
        <w:t>個日曆天</w:t>
      </w:r>
      <w:r w:rsidR="002D3E16" w:rsidRPr="007D07D0">
        <w:rPr>
          <w:rFonts w:ascii="標楷體" w:eastAsia="標楷體" w:hAnsi="標楷體" w:hint="eastAsia"/>
          <w:sz w:val="28"/>
          <w:szCs w:val="28"/>
        </w:rPr>
        <w:t>為原則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倘為</w:t>
      </w:r>
      <w:r w:rsidR="002D3E16" w:rsidRPr="00FC4908">
        <w:rPr>
          <w:rFonts w:ascii="標楷體" w:eastAsia="標楷體" w:hAnsi="標楷體" w:hint="eastAsia"/>
          <w:sz w:val="28"/>
          <w:szCs w:val="28"/>
        </w:rPr>
        <w:t>特殊</w:t>
      </w:r>
      <w:proofErr w:type="gramEnd"/>
      <w:r w:rsidR="002D3E16" w:rsidRPr="00FC4908">
        <w:rPr>
          <w:rFonts w:ascii="標楷體" w:eastAsia="標楷體" w:hAnsi="標楷體" w:hint="eastAsia"/>
          <w:sz w:val="28"/>
          <w:szCs w:val="28"/>
        </w:rPr>
        <w:t>或複雜案件，</w:t>
      </w:r>
      <w:r>
        <w:rPr>
          <w:rFonts w:ascii="標楷體" w:eastAsia="標楷體" w:hAnsi="標楷體" w:hint="eastAsia"/>
          <w:sz w:val="28"/>
          <w:szCs w:val="28"/>
        </w:rPr>
        <w:t>不在此限</w:t>
      </w:r>
      <w:r w:rsidR="002D3E16" w:rsidRPr="00FC4908">
        <w:rPr>
          <w:rFonts w:ascii="標楷體" w:eastAsia="標楷體" w:hAnsi="標楷體" w:hint="eastAsia"/>
          <w:sz w:val="28"/>
          <w:szCs w:val="28"/>
        </w:rPr>
        <w:t>。</w:t>
      </w:r>
    </w:p>
    <w:p w14:paraId="5CA4E4C3" w14:textId="268578AB" w:rsidR="002D3E16" w:rsidRDefault="00FC4908" w:rsidP="007228C8">
      <w:pPr>
        <w:pStyle w:val="a9"/>
        <w:numPr>
          <w:ilvl w:val="0"/>
          <w:numId w:val="3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反映事件之調查，本府必要時得</w:t>
      </w:r>
      <w:r w:rsidR="00974770">
        <w:rPr>
          <w:rFonts w:ascii="標楷體" w:eastAsia="標楷體" w:hAnsi="標楷體" w:hint="eastAsia"/>
          <w:sz w:val="28"/>
          <w:szCs w:val="28"/>
        </w:rPr>
        <w:t>邀請相關專家學者成立調查小組為之。</w:t>
      </w:r>
    </w:p>
    <w:p w14:paraId="7AEFE54A" w14:textId="6E916C4F" w:rsidR="00974770" w:rsidRPr="007D07D0" w:rsidRDefault="00974770" w:rsidP="007228C8">
      <w:pPr>
        <w:pStyle w:val="a9"/>
        <w:numPr>
          <w:ilvl w:val="0"/>
          <w:numId w:val="3"/>
        </w:numPr>
        <w:adjustRightInd w:val="0"/>
        <w:snapToGrid w:val="0"/>
        <w:spacing w:after="0" w:line="360" w:lineRule="auto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調查完成後，調查結果應於14</w:t>
      </w:r>
      <w:r w:rsidR="00643A11" w:rsidRPr="00643A11">
        <w:rPr>
          <w:rFonts w:ascii="標楷體" w:eastAsia="標楷體" w:hAnsi="標楷體" w:hint="eastAsia"/>
          <w:sz w:val="28"/>
          <w:szCs w:val="28"/>
        </w:rPr>
        <w:t>個日曆天</w:t>
      </w:r>
      <w:r>
        <w:rPr>
          <w:rFonts w:ascii="標楷體" w:eastAsia="標楷體" w:hAnsi="標楷體" w:hint="eastAsia"/>
          <w:sz w:val="28"/>
          <w:szCs w:val="28"/>
        </w:rPr>
        <w:t>內作成書面紀錄，並依調查結果確定處置方式後，回復反映人及進行後續處置。</w:t>
      </w:r>
    </w:p>
    <w:p w14:paraId="51E6068B" w14:textId="1BCF41FA" w:rsidR="00C7582C" w:rsidRPr="00974770" w:rsidRDefault="002D3E16" w:rsidP="007228C8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567" w:hanging="567"/>
        <w:jc w:val="both"/>
        <w:rPr>
          <w:rFonts w:ascii="標楷體" w:eastAsia="標楷體" w:hAnsi="標楷體"/>
          <w:sz w:val="32"/>
          <w:szCs w:val="32"/>
        </w:rPr>
      </w:pPr>
      <w:r w:rsidRPr="007D07D0">
        <w:rPr>
          <w:rFonts w:ascii="標楷體" w:eastAsia="標楷體" w:hAnsi="標楷體"/>
          <w:sz w:val="28"/>
          <w:szCs w:val="28"/>
        </w:rPr>
        <w:t>本</w:t>
      </w:r>
      <w:r w:rsidR="00974770">
        <w:rPr>
          <w:rFonts w:ascii="標楷體" w:eastAsia="標楷體" w:hAnsi="標楷體" w:hint="eastAsia"/>
          <w:sz w:val="28"/>
          <w:szCs w:val="28"/>
        </w:rPr>
        <w:t>處理</w:t>
      </w:r>
      <w:r w:rsidRPr="007D07D0">
        <w:rPr>
          <w:rFonts w:ascii="標楷體" w:eastAsia="標楷體" w:hAnsi="標楷體"/>
          <w:sz w:val="28"/>
          <w:szCs w:val="28"/>
        </w:rPr>
        <w:t>機制</w:t>
      </w:r>
      <w:r w:rsidR="00EA7A33">
        <w:rPr>
          <w:rFonts w:ascii="標楷體" w:eastAsia="標楷體" w:hAnsi="標楷體" w:hint="eastAsia"/>
          <w:sz w:val="28"/>
          <w:szCs w:val="28"/>
        </w:rPr>
        <w:t>如</w:t>
      </w:r>
      <w:r w:rsidRPr="007D07D0">
        <w:rPr>
          <w:rFonts w:ascii="標楷體" w:eastAsia="標楷體" w:hAnsi="標楷體"/>
          <w:sz w:val="28"/>
          <w:szCs w:val="28"/>
        </w:rPr>
        <w:t>未盡事宜，得隨時修正</w:t>
      </w:r>
      <w:r w:rsidR="00974770">
        <w:rPr>
          <w:rFonts w:ascii="標楷體" w:eastAsia="標楷體" w:hAnsi="標楷體" w:hint="eastAsia"/>
          <w:sz w:val="28"/>
          <w:szCs w:val="28"/>
        </w:rPr>
        <w:t>。</w:t>
      </w:r>
    </w:p>
    <w:p w14:paraId="64002FF1" w14:textId="44F497E9" w:rsidR="00C7582C" w:rsidRPr="00C7582C" w:rsidRDefault="00C7582C" w:rsidP="003E5BCA">
      <w:pPr>
        <w:widowControl/>
        <w:rPr>
          <w:rFonts w:ascii="標楷體" w:eastAsia="標楷體" w:hAnsi="標楷體"/>
          <w:sz w:val="32"/>
          <w:szCs w:val="32"/>
        </w:rPr>
      </w:pPr>
    </w:p>
    <w:sectPr w:rsidR="00C7582C" w:rsidRPr="00C758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365A" w14:textId="77777777" w:rsidR="0083211A" w:rsidRDefault="0083211A" w:rsidP="0056456F">
      <w:pPr>
        <w:spacing w:after="0" w:line="240" w:lineRule="auto"/>
      </w:pPr>
      <w:r>
        <w:separator/>
      </w:r>
    </w:p>
  </w:endnote>
  <w:endnote w:type="continuationSeparator" w:id="0">
    <w:p w14:paraId="74C9AA80" w14:textId="77777777" w:rsidR="0083211A" w:rsidRDefault="0083211A" w:rsidP="0056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9C9" w14:textId="77777777" w:rsidR="0083211A" w:rsidRDefault="0083211A" w:rsidP="0056456F">
      <w:pPr>
        <w:spacing w:after="0" w:line="240" w:lineRule="auto"/>
      </w:pPr>
      <w:r>
        <w:separator/>
      </w:r>
    </w:p>
  </w:footnote>
  <w:footnote w:type="continuationSeparator" w:id="0">
    <w:p w14:paraId="3DD47B04" w14:textId="77777777" w:rsidR="0083211A" w:rsidRDefault="0083211A" w:rsidP="0056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633"/>
    <w:multiLevelType w:val="hybridMultilevel"/>
    <w:tmpl w:val="859C2E5A"/>
    <w:lvl w:ilvl="0" w:tplc="38F45E00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53DC6F1C"/>
    <w:multiLevelType w:val="hybridMultilevel"/>
    <w:tmpl w:val="1A86FAA6"/>
    <w:lvl w:ilvl="0" w:tplc="06508CA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sz w:val="28"/>
        <w:szCs w:val="28"/>
      </w:rPr>
    </w:lvl>
    <w:lvl w:ilvl="1" w:tplc="6BF65218">
      <w:start w:val="1"/>
      <w:numFmt w:val="taiwaneseCountingThousand"/>
      <w:lvlText w:val="（%2）"/>
      <w:lvlJc w:val="left"/>
      <w:pPr>
        <w:ind w:left="119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533467"/>
    <w:multiLevelType w:val="hybridMultilevel"/>
    <w:tmpl w:val="859C2E5A"/>
    <w:lvl w:ilvl="0" w:tplc="FFFFFFFF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2249982">
    <w:abstractNumId w:val="1"/>
  </w:num>
  <w:num w:numId="2" w16cid:durableId="1989555367">
    <w:abstractNumId w:val="0"/>
  </w:num>
  <w:num w:numId="3" w16cid:durableId="52371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BA"/>
    <w:rsid w:val="000C5F19"/>
    <w:rsid w:val="001066C7"/>
    <w:rsid w:val="00112449"/>
    <w:rsid w:val="001275BC"/>
    <w:rsid w:val="001E782F"/>
    <w:rsid w:val="00212471"/>
    <w:rsid w:val="0022445A"/>
    <w:rsid w:val="0029643F"/>
    <w:rsid w:val="002D0246"/>
    <w:rsid w:val="002D3E16"/>
    <w:rsid w:val="0031723D"/>
    <w:rsid w:val="00337E4B"/>
    <w:rsid w:val="00375321"/>
    <w:rsid w:val="00377F42"/>
    <w:rsid w:val="003E5552"/>
    <w:rsid w:val="003E5BCA"/>
    <w:rsid w:val="003F0D54"/>
    <w:rsid w:val="00491EB1"/>
    <w:rsid w:val="004E16D2"/>
    <w:rsid w:val="004E6950"/>
    <w:rsid w:val="00517659"/>
    <w:rsid w:val="005517C8"/>
    <w:rsid w:val="0056456F"/>
    <w:rsid w:val="0057637F"/>
    <w:rsid w:val="0057710A"/>
    <w:rsid w:val="005D4CBF"/>
    <w:rsid w:val="00630102"/>
    <w:rsid w:val="00643A11"/>
    <w:rsid w:val="00691304"/>
    <w:rsid w:val="006D47BA"/>
    <w:rsid w:val="007228C8"/>
    <w:rsid w:val="00735AF8"/>
    <w:rsid w:val="00782429"/>
    <w:rsid w:val="00790206"/>
    <w:rsid w:val="007A141D"/>
    <w:rsid w:val="007A2CE5"/>
    <w:rsid w:val="007D07D0"/>
    <w:rsid w:val="007E3835"/>
    <w:rsid w:val="00813E2B"/>
    <w:rsid w:val="008248A8"/>
    <w:rsid w:val="0083211A"/>
    <w:rsid w:val="0084102B"/>
    <w:rsid w:val="0089367E"/>
    <w:rsid w:val="0089607A"/>
    <w:rsid w:val="008B063C"/>
    <w:rsid w:val="008C28D4"/>
    <w:rsid w:val="00930BBD"/>
    <w:rsid w:val="00964036"/>
    <w:rsid w:val="00974770"/>
    <w:rsid w:val="009863AE"/>
    <w:rsid w:val="00995757"/>
    <w:rsid w:val="009C02FE"/>
    <w:rsid w:val="009C7071"/>
    <w:rsid w:val="009E0170"/>
    <w:rsid w:val="00A34DF0"/>
    <w:rsid w:val="00A84452"/>
    <w:rsid w:val="00AA5CB2"/>
    <w:rsid w:val="00B02C27"/>
    <w:rsid w:val="00B04685"/>
    <w:rsid w:val="00B50EB9"/>
    <w:rsid w:val="00B553E5"/>
    <w:rsid w:val="00B55D71"/>
    <w:rsid w:val="00B73131"/>
    <w:rsid w:val="00B87BC2"/>
    <w:rsid w:val="00BB4111"/>
    <w:rsid w:val="00BE3992"/>
    <w:rsid w:val="00BE7A0D"/>
    <w:rsid w:val="00BF2A0B"/>
    <w:rsid w:val="00BF74E9"/>
    <w:rsid w:val="00C206E4"/>
    <w:rsid w:val="00C62C98"/>
    <w:rsid w:val="00C7582C"/>
    <w:rsid w:val="00C91649"/>
    <w:rsid w:val="00CA7FD5"/>
    <w:rsid w:val="00D06265"/>
    <w:rsid w:val="00D1139C"/>
    <w:rsid w:val="00D31314"/>
    <w:rsid w:val="00D55E2C"/>
    <w:rsid w:val="00D64297"/>
    <w:rsid w:val="00DA48D4"/>
    <w:rsid w:val="00DB76BB"/>
    <w:rsid w:val="00DD1265"/>
    <w:rsid w:val="00DF42C5"/>
    <w:rsid w:val="00E61A75"/>
    <w:rsid w:val="00EA7A33"/>
    <w:rsid w:val="00EF2F6A"/>
    <w:rsid w:val="00EF513E"/>
    <w:rsid w:val="00F0331E"/>
    <w:rsid w:val="00F10339"/>
    <w:rsid w:val="00F349CB"/>
    <w:rsid w:val="00F5221E"/>
    <w:rsid w:val="00F73215"/>
    <w:rsid w:val="00F74678"/>
    <w:rsid w:val="00FC2D9A"/>
    <w:rsid w:val="00FC4908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37F73"/>
  <w15:chartTrackingRefBased/>
  <w15:docId w15:val="{4D86B8D2-505C-4411-9882-90CA3746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D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B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B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B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B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B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47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6D4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47B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4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47B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47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47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47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47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4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4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7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47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7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4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6456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64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45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鄧叔芳</dc:creator>
  <cp:keywords/>
  <dc:description/>
  <cp:lastModifiedBy>鄭舒文</cp:lastModifiedBy>
  <cp:revision>45</cp:revision>
  <dcterms:created xsi:type="dcterms:W3CDTF">2025-07-02T07:04:00Z</dcterms:created>
  <dcterms:modified xsi:type="dcterms:W3CDTF">2026-01-21T01:26:00Z</dcterms:modified>
</cp:coreProperties>
</file>