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950" w:hanging="950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法務部矯正署</w:t>
      </w:r>
      <w:r w:rsidDel="00000000" w:rsidR="00000000" w:rsidRPr="00000000">
        <w:rPr>
          <w:rFonts w:ascii="PMingLiu" w:cs="PMingLiu" w:eastAsia="PMingLiu" w:hAnsi="PMingLiu"/>
          <w:sz w:val="32"/>
          <w:szCs w:val="32"/>
          <w:highlight w:val="white"/>
          <w:rtl w:val="0"/>
        </w:rPr>
        <w:t xml:space="preserve">自強外役監獄</w:t>
      </w: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參觀申請表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60" w:lineRule="auto"/>
        <w:ind w:left="713" w:hanging="713"/>
        <w:jc w:val="right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申請日期: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    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年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    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月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    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日</w:t>
      </w:r>
      <w:r w:rsidDel="00000000" w:rsidR="00000000" w:rsidRPr="00000000">
        <w:rPr>
          <w:rtl w:val="0"/>
        </w:rPr>
      </w:r>
    </w:p>
    <w:tbl>
      <w:tblPr>
        <w:tblStyle w:val="Table1"/>
        <w:tblW w:w="9627.0" w:type="dxa"/>
        <w:jc w:val="left"/>
        <w:tblInd w:w="172.0" w:type="dxa"/>
        <w:tblLayout w:type="fixed"/>
        <w:tblLook w:val="0000"/>
      </w:tblPr>
      <w:tblGrid>
        <w:gridCol w:w="1344"/>
        <w:gridCol w:w="1480"/>
        <w:gridCol w:w="1540"/>
        <w:gridCol w:w="1595"/>
        <w:gridCol w:w="1705"/>
        <w:gridCol w:w="75"/>
        <w:gridCol w:w="1888"/>
        <w:tblGridChange w:id="0">
          <w:tblGrid>
            <w:gridCol w:w="1344"/>
            <w:gridCol w:w="1480"/>
            <w:gridCol w:w="1540"/>
            <w:gridCol w:w="1595"/>
            <w:gridCol w:w="1705"/>
            <w:gridCol w:w="75"/>
            <w:gridCol w:w="1888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jc w:val="both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參觀人員類型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spacing w:line="480" w:lineRule="auto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□個人</w:t>
            </w:r>
            <w:r w:rsidDel="00000000" w:rsidR="00000000" w:rsidRPr="00000000">
              <w:rPr>
                <w:rFonts w:ascii="Posterama" w:cs="Posterama" w:eastAsia="Posterama" w:hAnsi="Posterama"/>
                <w:rtl w:val="0"/>
              </w:rPr>
              <w:t xml:space="preserve">：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(申請人)       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，計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人。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480" w:lineRule="auto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□機關/團體</w:t>
            </w:r>
            <w:r w:rsidDel="00000000" w:rsidR="00000000" w:rsidRPr="00000000">
              <w:rPr>
                <w:rFonts w:ascii="Posterama" w:cs="Posterama" w:eastAsia="Posterama" w:hAnsi="Posterama"/>
                <w:rtl w:val="0"/>
              </w:rPr>
              <w:t xml:space="preserve">：</w:t>
            </w:r>
            <w:r w:rsidDel="00000000" w:rsidR="00000000" w:rsidRPr="00000000">
              <w:rPr>
                <w:rFonts w:ascii="Posterama" w:cs="Posterama" w:eastAsia="Posterama" w:hAnsi="Posterama"/>
                <w:u w:val="single"/>
                <w:rtl w:val="0"/>
              </w:rPr>
              <w:t xml:space="preserve">    (機關/團體名稱)              </w:t>
            </w:r>
            <w:r w:rsidDel="00000000" w:rsidR="00000000" w:rsidRPr="00000000">
              <w:rPr>
                <w:rFonts w:ascii="Posterama" w:cs="Posterama" w:eastAsia="Posterama" w:hAnsi="Posterama"/>
                <w:rtl w:val="0"/>
              </w:rPr>
              <w:t xml:space="preserve">，計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Posterama" w:cs="Posterama" w:eastAsia="Posterama" w:hAnsi="Posterama"/>
                <w:rtl w:val="0"/>
              </w:rPr>
              <w:t xml:space="preserve">人。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480" w:lineRule="auto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□媒體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：</w:t>
            </w:r>
            <w:r w:rsidDel="00000000" w:rsidR="00000000" w:rsidRPr="00000000">
              <w:rPr>
                <w:rFonts w:ascii="PMingLiu" w:cs="PMingLiu" w:eastAsia="PMingLiu" w:hAnsi="PMingLiu"/>
                <w:u w:val="single"/>
                <w:rtl w:val="0"/>
              </w:rPr>
              <w:t xml:space="preserve">                  </w:t>
            </w:r>
            <w:r w:rsidDel="00000000" w:rsidR="00000000" w:rsidRPr="00000000">
              <w:rPr>
                <w:rFonts w:ascii="Posterama" w:cs="Posterama" w:eastAsia="Posterama" w:hAnsi="Posterama"/>
                <w:u w:val="single"/>
                <w:rtl w:val="0"/>
              </w:rPr>
              <w:t xml:space="preserve">(媒體名稱)</w:t>
            </w:r>
            <w:r w:rsidDel="00000000" w:rsidR="00000000" w:rsidRPr="00000000">
              <w:rPr>
                <w:rFonts w:ascii="PMingLiu" w:cs="PMingLiu" w:eastAsia="PMingLiu" w:hAnsi="PMingLiu"/>
                <w:u w:val="single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Posterama" w:cs="Posterama" w:eastAsia="Posterama" w:hAnsi="Posterama"/>
                <w:rtl w:val="0"/>
              </w:rPr>
              <w:t xml:space="preserve">，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計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人。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個人、機關/團體</w:t>
              <w:br w:type="textWrapping"/>
              <w:t xml:space="preserve">或媒體印章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申請人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聯繫方式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line="480" w:lineRule="auto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申請人姓名：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480" w:lineRule="auto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連絡</w:t>
            </w:r>
            <w:r w:rsidDel="00000000" w:rsidR="00000000" w:rsidRPr="00000000">
              <w:rPr>
                <w:rFonts w:ascii="Posterama" w:cs="Posterama" w:eastAsia="Posterama" w:hAnsi="Posterama"/>
                <w:rtl w:val="0"/>
              </w:rPr>
              <w:t xml:space="preserve">電話：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480" w:lineRule="auto"/>
              <w:rPr/>
            </w:pPr>
            <w:r w:rsidDel="00000000" w:rsidR="00000000" w:rsidRPr="00000000">
              <w:rPr>
                <w:rFonts w:ascii="Posterama" w:cs="Posterama" w:eastAsia="Posterama" w:hAnsi="Posterama"/>
                <w:rtl w:val="0"/>
              </w:rPr>
              <w:t xml:space="preserve">電子信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箱：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480" w:lineRule="auto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地址：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參觀目的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參觀日期及時間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年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月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日     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時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分至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時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注意事項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57" w:line="276" w:lineRule="auto"/>
              <w:ind w:left="493" w:right="0" w:hanging="493"/>
              <w:jc w:val="left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一、參觀時間：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法務部矯正署自強外役監獄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免費開放參觀，開放時段為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星期一至星期五上午9時至11時以及下午14時至16時(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申請參觀人數未滿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人者，參訪時間統一於周二下午辦理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；例假日、國定假日及停止上班日，不開放參觀。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7" w:before="57" w:line="276" w:lineRule="auto"/>
              <w:ind w:left="492" w:right="0" w:hanging="492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二、申請人應知悉參觀矯正機關之相關規定，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c9211e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請詳閱相關規定後簽名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，並將資訊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c9211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轉知參觀人員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。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7" w:before="57" w:line="276" w:lineRule="auto"/>
              <w:ind w:left="492" w:right="0" w:hanging="49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三、本監採預約參觀制，請於預計參觀時間至少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個工作天前填妥此申請表、簽名及參觀人員清冊後，以電子郵件寄至jcoe@mail.moj.gov.tw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        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或傳真03-8703921辦理，並來電03-8703914#332確認.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7" w:before="57" w:line="276" w:lineRule="auto"/>
              <w:ind w:left="492" w:right="0" w:hanging="49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四、為使參觀人員有愉快的體驗，請確實檢查傳送資料已包含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c9211e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參觀申請表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、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c9211e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相關規定簽名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及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c9211e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參觀人員清冊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，如有文件短少時，本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監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將請申請人補正，另受理參訪後將另行通知申請人知悉，惠請靜候通知。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審核意見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承辦人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教化科長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戒護科長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副典獄長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典獄長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highlight w:val="lightGray"/>
          <w:rtl w:val="0"/>
        </w:rPr>
        <w:t xml:space="preserve">相關規定：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監獄行刑法第二十一條第一項、第三至四項規定：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264" w:hanging="264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※監獄應嚴密戒護，並得運用科技設備輔助之。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264" w:hanging="264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※為戒護安全目的，監獄得於必要範圍內，運用第一項科技設備蒐集、處理、利用受刑人或進出人員之個人資料。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264" w:hanging="264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※監獄為維護安全，得檢查出入者之衣類及攜帶物品，並得運用科技設備輔助之。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13" w:hanging="713"/>
        <w:rPr/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監獄行刑法施行細則第七條第四至六項規定：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13" w:hanging="713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※監獄於民眾或媒體參觀前，應告知並請其遵守下列事項：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13" w:hanging="461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一、提出身分證明文件，並配合依本法第二十一條規定所為之檢查。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13" w:hanging="461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二、穿著適當服裝及遵守秩序，不得鼓譟及喧嘩。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13" w:hanging="461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三、未經監獄許可，不得攜帶、使用通訊、錄影、攝影及錄音器材。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13" w:hanging="461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四、依引導路線參訪，不得擅自行動或滯留。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713" w:hanging="461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五、禁止擅自與受刑人交談或傳遞物品。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713" w:hanging="461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六、不得違反監獄所為之相關管制措施或處置。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13" w:hanging="461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七、不得有其他妨害監獄秩序、安全或受刑人權益之行為。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※參觀者有違反前項規定之行為者，監獄得停止其參觀。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252" w:hanging="252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※未滿十八歲之人請求參觀者，應由其法定代理人、監護人、師長或其他適當之成年人陪同為之。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羈押法第十六條第一項、第三至四項規定：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※看守所應嚴密戒護，並得運用科技設備輔助之。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252" w:hanging="252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※為戒護安全目的，看守所得於必要範圍內，運用第一項科技設備蒐集、處理、利用被告或進出人員之個人資料。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※看守所為維護安全，得檢查出入者之衣類及攜帶物品，並得運用科技設備輔助之。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羈押法施行細則第六條第四至六項規定：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713" w:hanging="713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※看守所於民眾或媒體參觀前，應告知並請其遵守下列事項：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13" w:hanging="461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一、提出身分證明文件，並配合依本法第十六條規定所為之檢查。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13" w:hanging="461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二、穿著適當服裝及遵守秩序，不得鼓譟及喧嘩。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13" w:hanging="461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三、未經看守所許可，不得攜帶、使用通訊、錄影、攝影及錄音器材。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13" w:hanging="461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四、依引導路線參訪，不得擅自行動或滯留。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13" w:hanging="461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五、禁止擅自與被告交談或傳遞物品。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713" w:hanging="461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六、不得違反看守所所為之相關管制措施或處置。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13" w:hanging="461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七、不得有其他妨害看守所秩序、安全或被告權益之行為。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713" w:hanging="713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※參觀者有違反前項規定之行為者，看守所得停止其參觀。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252" w:hanging="252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※未滿十八歲之人請求參觀者，應由其法定代理人、監護人、師長或其他適當之成年人陪同為之。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757" w:hanging="757"/>
        <w:rPr/>
      </w:pP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備註：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/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依監獄行刑法施行細則第五十八條，有關少年矯正學校、少年輔育院、技能訓練所、戒治所辦理少年受刑人、感化教育受處分人、強制工作受處分人及受戒治人之相關執行業務，得準用本細則之規定。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/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依羈押法施行細則第五十條，有關少年觀護所、勒戒處所辦理少年被告、受觀察、勒戒人之相關執行業務，得準用本細則相關規定。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/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申請參觀者於參觀活動進行前，須同意配合矯正機關依據所設置之科技設備，蒐集、處理及利用您的個人資料。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/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矯正機關將依個人資料保護法及「監獄及看守所科技設備設置與使用及管理辦法」等相關法令之規定下，蒐集、處理及利用您的個人資料。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/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依據「監獄及看守所科技設備設置與使用及管理辦法」第二十一條規定，有關監獄及看守所以外之矯正機關，得準用該辦法蒐集、處理及利用參觀者之個人資料。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申請人簽名確認：</w:t>
      </w:r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       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950" w:hanging="950"/>
        <w:jc w:val="center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法務部矯正署</w:t>
      </w:r>
      <w:r w:rsidDel="00000000" w:rsidR="00000000" w:rsidRPr="00000000">
        <w:rPr>
          <w:rFonts w:ascii="PMingLiu" w:cs="PMingLiu" w:eastAsia="PMingLiu" w:hAnsi="PMingLiu"/>
          <w:sz w:val="32"/>
          <w:szCs w:val="32"/>
          <w:highlight w:val="white"/>
          <w:rtl w:val="0"/>
        </w:rPr>
        <w:t xml:space="preserve">自強外役監獄</w:t>
      </w: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參觀人員清冊</w:t>
      </w:r>
      <w:r w:rsidDel="00000000" w:rsidR="00000000" w:rsidRPr="00000000">
        <w:rPr>
          <w:rtl w:val="0"/>
        </w:rPr>
      </w:r>
    </w:p>
    <w:tbl>
      <w:tblPr>
        <w:tblStyle w:val="Table2"/>
        <w:tblW w:w="10193.999999999998" w:type="dxa"/>
        <w:jc w:val="center"/>
        <w:tblLayout w:type="fixed"/>
        <w:tblLook w:val="0000"/>
      </w:tblPr>
      <w:tblGrid>
        <w:gridCol w:w="1462"/>
        <w:gridCol w:w="1462"/>
        <w:gridCol w:w="1463"/>
        <w:gridCol w:w="1463"/>
        <w:gridCol w:w="1463"/>
        <w:gridCol w:w="1463"/>
        <w:gridCol w:w="1418"/>
        <w:tblGridChange w:id="0">
          <w:tblGrid>
            <w:gridCol w:w="1462"/>
            <w:gridCol w:w="1462"/>
            <w:gridCol w:w="1463"/>
            <w:gridCol w:w="1463"/>
            <w:gridCol w:w="1463"/>
            <w:gridCol w:w="1463"/>
            <w:gridCol w:w="1418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性別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出生日期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身分證字號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職業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連絡電話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備註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85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Liberation Sans"/>
  <w:font w:name="Georgia"/>
  <w:font w:name="DFKai-SB"/>
  <w:font w:name="PMingLiu"/>
  <w:font w:name="Postera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、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