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22109" w14:textId="77777777" w:rsidR="002243FC" w:rsidRPr="00BB163D" w:rsidRDefault="002243FC" w:rsidP="00BA5C8E">
      <w:pPr>
        <w:spacing w:line="240" w:lineRule="atLeast"/>
        <w:jc w:val="center"/>
        <w:rPr>
          <w:b/>
          <w:bCs/>
          <w:spacing w:val="-4"/>
          <w:szCs w:val="24"/>
        </w:rPr>
      </w:pPr>
      <w:r w:rsidRPr="00BB163D">
        <w:rPr>
          <w:rFonts w:hint="eastAsia"/>
          <w:b/>
          <w:bCs/>
          <w:spacing w:val="-4"/>
          <w:szCs w:val="24"/>
        </w:rPr>
        <w:t>統計資料背景說明</w:t>
      </w:r>
    </w:p>
    <w:p w14:paraId="05FA580D" w14:textId="612DED70" w:rsidR="002243FC" w:rsidRPr="00B27F7B" w:rsidRDefault="002243FC" w:rsidP="00BA5C8E">
      <w:pPr>
        <w:spacing w:line="240" w:lineRule="atLeast"/>
        <w:rPr>
          <w:rFonts w:hAnsi="標楷體"/>
          <w:szCs w:val="24"/>
        </w:rPr>
      </w:pPr>
      <w:r w:rsidRPr="00B27F7B">
        <w:rPr>
          <w:rFonts w:hAnsi="標楷體" w:hint="eastAsia"/>
          <w:szCs w:val="24"/>
        </w:rPr>
        <w:t>資料種類：</w:t>
      </w:r>
      <w:r w:rsidR="002F4196" w:rsidRPr="002F4196">
        <w:rPr>
          <w:rFonts w:hAnsi="標楷體" w:hint="eastAsia"/>
          <w:szCs w:val="24"/>
        </w:rPr>
        <w:t>社會福利服務統計</w:t>
      </w:r>
    </w:p>
    <w:p w14:paraId="70108EE9" w14:textId="0D524CB0" w:rsidR="002243FC" w:rsidRPr="00B27F7B" w:rsidRDefault="002243FC" w:rsidP="00355608">
      <w:pPr>
        <w:spacing w:line="240" w:lineRule="atLeast"/>
        <w:ind w:left="1200" w:hangingChars="500" w:hanging="1200"/>
        <w:rPr>
          <w:rFonts w:hAnsi="標楷體"/>
          <w:szCs w:val="24"/>
        </w:rPr>
      </w:pPr>
      <w:r w:rsidRPr="00B27F7B">
        <w:rPr>
          <w:rFonts w:hAnsi="標楷體" w:hint="eastAsia"/>
          <w:szCs w:val="24"/>
        </w:rPr>
        <w:t>資料項目：</w:t>
      </w:r>
      <w:r w:rsidR="00443684" w:rsidRPr="00443684">
        <w:rPr>
          <w:rFonts w:hAnsi="標楷體" w:hint="eastAsia"/>
          <w:kern w:val="0"/>
          <w:szCs w:val="24"/>
        </w:rPr>
        <w:t>花蓮縣違反兒童及少年福利與權益保障法執行概況</w:t>
      </w:r>
    </w:p>
    <w:p w14:paraId="46477695"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一、發布及編製機關單位</w:t>
      </w:r>
    </w:p>
    <w:p w14:paraId="3E9D085F" w14:textId="38E3DF55" w:rsidR="002243FC" w:rsidRPr="00B27F7B" w:rsidRDefault="002243FC" w:rsidP="00BA5C8E">
      <w:pPr>
        <w:spacing w:line="240" w:lineRule="atLeast"/>
        <w:ind w:leftChars="100" w:left="472" w:hangingChars="100" w:hanging="232"/>
        <w:jc w:val="both"/>
        <w:rPr>
          <w:rFonts w:hAnsi="標楷體"/>
          <w:spacing w:val="-4"/>
          <w:szCs w:val="24"/>
        </w:rPr>
      </w:pPr>
      <w:r w:rsidRPr="00B27F7B">
        <w:rPr>
          <w:rFonts w:hAnsi="標楷體" w:hint="eastAsia"/>
          <w:spacing w:val="-4"/>
          <w:szCs w:val="24"/>
        </w:rPr>
        <w:t>＊發布機關、單位：</w:t>
      </w:r>
      <w:r w:rsidR="000702B2" w:rsidRPr="000702B2">
        <w:rPr>
          <w:rFonts w:hAnsi="標楷體" w:hint="eastAsia"/>
          <w:spacing w:val="-4"/>
          <w:szCs w:val="24"/>
        </w:rPr>
        <w:t>花蓮縣政府社會處</w:t>
      </w:r>
    </w:p>
    <w:p w14:paraId="295700FA" w14:textId="14E0C532" w:rsidR="002243FC" w:rsidRPr="00B27F7B" w:rsidRDefault="002243FC" w:rsidP="00BA5C8E">
      <w:pPr>
        <w:spacing w:line="240" w:lineRule="atLeast"/>
        <w:ind w:leftChars="100" w:left="480" w:hangingChars="100" w:hanging="240"/>
        <w:jc w:val="both"/>
        <w:rPr>
          <w:rFonts w:hAnsi="標楷體"/>
          <w:spacing w:val="-10"/>
          <w:szCs w:val="24"/>
        </w:rPr>
      </w:pPr>
      <w:r w:rsidRPr="00B27F7B">
        <w:rPr>
          <w:rFonts w:hAnsi="標楷體" w:hint="eastAsia"/>
          <w:szCs w:val="24"/>
        </w:rPr>
        <w:t>＊編製單位：</w:t>
      </w:r>
      <w:r w:rsidR="000702B2" w:rsidRPr="000702B2">
        <w:rPr>
          <w:rFonts w:hAnsi="標楷體" w:hint="eastAsia"/>
          <w:szCs w:val="24"/>
        </w:rPr>
        <w:t>花蓮縣政府社會處</w:t>
      </w:r>
      <w:r w:rsidR="00B410A8">
        <w:rPr>
          <w:rFonts w:hAnsi="標楷體" w:hint="eastAsia"/>
          <w:szCs w:val="24"/>
        </w:rPr>
        <w:t>婦幼</w:t>
      </w:r>
      <w:r w:rsidR="000702B2">
        <w:rPr>
          <w:rFonts w:hAnsi="標楷體" w:hint="eastAsia"/>
          <w:szCs w:val="24"/>
        </w:rPr>
        <w:t>科</w:t>
      </w:r>
    </w:p>
    <w:p w14:paraId="09CD2FD8" w14:textId="2AE4CE8C"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＊聯絡電話：</w:t>
      </w:r>
      <w:r w:rsidRPr="00E47F14">
        <w:rPr>
          <w:rFonts w:hAnsi="標楷體" w:hint="eastAsia"/>
          <w:szCs w:val="24"/>
        </w:rPr>
        <w:t>03-</w:t>
      </w:r>
      <w:r w:rsidR="00464978">
        <w:rPr>
          <w:rFonts w:hAnsi="標楷體" w:hint="eastAsia"/>
          <w:szCs w:val="24"/>
        </w:rPr>
        <w:t>8</w:t>
      </w:r>
      <w:r w:rsidR="00903E36">
        <w:rPr>
          <w:rFonts w:hAnsi="標楷體" w:hint="eastAsia"/>
          <w:szCs w:val="24"/>
        </w:rPr>
        <w:t>227171轉</w:t>
      </w:r>
      <w:r w:rsidR="000702B2">
        <w:rPr>
          <w:rFonts w:hAnsi="標楷體" w:hint="eastAsia"/>
          <w:szCs w:val="24"/>
        </w:rPr>
        <w:t>3</w:t>
      </w:r>
      <w:r w:rsidR="00B410A8">
        <w:rPr>
          <w:rFonts w:hAnsi="標楷體" w:hint="eastAsia"/>
          <w:szCs w:val="24"/>
        </w:rPr>
        <w:t>85</w:t>
      </w:r>
    </w:p>
    <w:p w14:paraId="1FB12DB7" w14:textId="58EFEFB3"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＊傳真：</w:t>
      </w:r>
      <w:r w:rsidR="00CA32B9">
        <w:rPr>
          <w:rFonts w:hAnsi="標楷體" w:hint="eastAsia"/>
          <w:szCs w:val="24"/>
        </w:rPr>
        <w:t>03</w:t>
      </w:r>
      <w:r w:rsidR="00B410A8">
        <w:rPr>
          <w:rFonts w:hAnsi="標楷體" w:hint="eastAsia"/>
          <w:szCs w:val="24"/>
        </w:rPr>
        <w:t>-</w:t>
      </w:r>
      <w:r w:rsidR="001A3E26" w:rsidRPr="001A3E26">
        <w:rPr>
          <w:rFonts w:hAnsi="標楷體"/>
          <w:szCs w:val="24"/>
        </w:rPr>
        <w:t>8235534</w:t>
      </w:r>
    </w:p>
    <w:p w14:paraId="6B337A74" w14:textId="77777777" w:rsidR="002243FC" w:rsidRPr="00B27F7B" w:rsidRDefault="002243FC" w:rsidP="00BA5C8E">
      <w:pPr>
        <w:spacing w:line="240" w:lineRule="atLeast"/>
        <w:ind w:leftChars="100" w:left="480" w:hangingChars="100" w:hanging="240"/>
        <w:jc w:val="both"/>
        <w:rPr>
          <w:rFonts w:hAnsi="標楷體"/>
          <w:szCs w:val="24"/>
        </w:rPr>
      </w:pPr>
      <w:r w:rsidRPr="00B27F7B">
        <w:rPr>
          <w:rFonts w:hAnsi="標楷體" w:hint="eastAsia"/>
          <w:szCs w:val="24"/>
        </w:rPr>
        <w:t>＊電子信箱：</w:t>
      </w:r>
    </w:p>
    <w:p w14:paraId="30ED9E17"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二、發布形式</w:t>
      </w:r>
    </w:p>
    <w:p w14:paraId="1499042F" w14:textId="0DA24222" w:rsidR="002243FC" w:rsidRPr="002243FC" w:rsidRDefault="002243FC" w:rsidP="00D03331">
      <w:pPr>
        <w:spacing w:line="240" w:lineRule="atLeast"/>
        <w:ind w:leftChars="100" w:left="480" w:hangingChars="100" w:hanging="240"/>
        <w:jc w:val="both"/>
        <w:rPr>
          <w:rFonts w:hAnsi="標楷體"/>
          <w:szCs w:val="24"/>
        </w:rPr>
      </w:pPr>
      <w:r w:rsidRPr="00B27F7B">
        <w:rPr>
          <w:rFonts w:hAnsi="標楷體" w:hint="eastAsia"/>
          <w:szCs w:val="24"/>
        </w:rPr>
        <w:t>＊口頭：</w:t>
      </w:r>
      <w:r w:rsidR="00DC4425" w:rsidRPr="00B27F7B">
        <w:rPr>
          <w:rFonts w:hAnsi="標楷體" w:hint="eastAsia"/>
          <w:szCs w:val="24"/>
        </w:rPr>
        <w:t>（ ）</w:t>
      </w:r>
      <w:r w:rsidRPr="00B27F7B">
        <w:rPr>
          <w:rFonts w:hAnsi="標楷體" w:hint="eastAsia"/>
          <w:szCs w:val="24"/>
        </w:rPr>
        <w:t>記者會或說明會</w:t>
      </w:r>
    </w:p>
    <w:p w14:paraId="4D4248E1" w14:textId="3C2C4F04"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＊書面：</w:t>
      </w:r>
    </w:p>
    <w:p w14:paraId="02F2B65C" w14:textId="7DB6FD77" w:rsidR="002243FC" w:rsidRPr="00B27F7B" w:rsidRDefault="002243FC" w:rsidP="00827E1A">
      <w:pPr>
        <w:spacing w:line="240" w:lineRule="atLeast"/>
        <w:ind w:leftChars="270" w:left="7843" w:hanging="7195"/>
        <w:jc w:val="both"/>
        <w:rPr>
          <w:rFonts w:hAnsi="標楷體"/>
          <w:szCs w:val="24"/>
        </w:rPr>
      </w:pPr>
      <w:r w:rsidRPr="00B27F7B">
        <w:rPr>
          <w:rFonts w:hAnsi="標楷體" w:hint="eastAsia"/>
          <w:szCs w:val="24"/>
        </w:rPr>
        <w:t>（ ）新聞稿</w:t>
      </w:r>
      <w:r w:rsidRPr="00B27F7B">
        <w:rPr>
          <w:rFonts w:hAnsi="標楷體"/>
          <w:szCs w:val="24"/>
        </w:rPr>
        <w:t xml:space="preserve">   </w:t>
      </w: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）報表  （ ）書刊，刊名：</w:t>
      </w:r>
    </w:p>
    <w:p w14:paraId="344A9A00" w14:textId="0AE02BEA" w:rsidR="002243FC" w:rsidRPr="00B27F7B"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＊電子媒體：</w:t>
      </w:r>
    </w:p>
    <w:p w14:paraId="2D02BCC8" w14:textId="2185B17A" w:rsidR="002243FC" w:rsidRDefault="002243FC" w:rsidP="00827E1A">
      <w:pPr>
        <w:spacing w:line="240" w:lineRule="atLeast"/>
        <w:ind w:left="645"/>
        <w:jc w:val="both"/>
        <w:rPr>
          <w:rFonts w:hAnsi="標楷體"/>
          <w:szCs w:val="24"/>
        </w:rPr>
      </w:pPr>
      <w:r w:rsidRPr="00B27F7B">
        <w:rPr>
          <w:rFonts w:hAnsi="標楷體" w:hint="eastAsia"/>
          <w:szCs w:val="24"/>
        </w:rPr>
        <w:t>（</w:t>
      </w:r>
      <w:r w:rsidR="00F6068C" w:rsidRPr="00611B1D">
        <w:rPr>
          <w:color w:val="000000"/>
          <w:szCs w:val="24"/>
        </w:rPr>
        <w:sym w:font="Wingdings 2" w:char="F050"/>
      </w:r>
      <w:r w:rsidRPr="00B27F7B">
        <w:rPr>
          <w:rFonts w:hAnsi="標楷體" w:hint="eastAsia"/>
          <w:szCs w:val="24"/>
        </w:rPr>
        <w:t>）線上書刊及資料庫，網址：</w:t>
      </w:r>
    </w:p>
    <w:p w14:paraId="5B8CA175" w14:textId="77777777" w:rsidR="000702B2" w:rsidRDefault="000702B2" w:rsidP="00827E1A">
      <w:pPr>
        <w:spacing w:line="240" w:lineRule="atLeast"/>
        <w:ind w:left="645"/>
        <w:jc w:val="both"/>
        <w:rPr>
          <w:rFonts w:hAnsi="標楷體"/>
          <w:szCs w:val="24"/>
        </w:rPr>
      </w:pPr>
      <w:r w:rsidRPr="000702B2">
        <w:rPr>
          <w:rFonts w:hAnsi="標楷體"/>
          <w:szCs w:val="24"/>
        </w:rPr>
        <w:t>https://hl.dgbas.gov.tw/STATWeb/Page/stat01_1.aspx?Mid=15007</w:t>
      </w:r>
    </w:p>
    <w:p w14:paraId="7416A7F4" w14:textId="4BA03135" w:rsidR="002243FC" w:rsidRPr="00B27F7B" w:rsidRDefault="002243FC" w:rsidP="00827E1A">
      <w:pPr>
        <w:spacing w:line="240" w:lineRule="atLeast"/>
        <w:ind w:left="645"/>
        <w:jc w:val="both"/>
        <w:rPr>
          <w:rFonts w:hAnsi="標楷體"/>
          <w:szCs w:val="24"/>
        </w:rPr>
      </w:pPr>
      <w:r w:rsidRPr="00B27F7B">
        <w:rPr>
          <w:rFonts w:hAnsi="標楷體" w:hint="eastAsia"/>
          <w:szCs w:val="24"/>
        </w:rPr>
        <w:t>（</w:t>
      </w:r>
      <w:r w:rsidRPr="00B27F7B">
        <w:rPr>
          <w:rFonts w:hAnsi="標楷體"/>
          <w:szCs w:val="24"/>
        </w:rPr>
        <w:t xml:space="preserve"> </w:t>
      </w:r>
      <w:r w:rsidRPr="00B27F7B">
        <w:rPr>
          <w:rFonts w:hAnsi="標楷體" w:hint="eastAsia"/>
          <w:szCs w:val="24"/>
        </w:rPr>
        <w:t>）磁片</w:t>
      </w:r>
      <w:r w:rsidRPr="00B27F7B">
        <w:rPr>
          <w:rFonts w:hAnsi="標楷體"/>
          <w:szCs w:val="24"/>
        </w:rPr>
        <w:t xml:space="preserve">  </w:t>
      </w:r>
      <w:r>
        <w:rPr>
          <w:rFonts w:hAnsi="標楷體" w:hint="eastAsia"/>
          <w:szCs w:val="24"/>
        </w:rPr>
        <w:t xml:space="preserve"> </w:t>
      </w:r>
      <w:r w:rsidRPr="00B27F7B">
        <w:rPr>
          <w:rFonts w:hAnsi="標楷體"/>
          <w:szCs w:val="24"/>
        </w:rPr>
        <w:t xml:space="preserve"> </w:t>
      </w:r>
      <w:r w:rsidRPr="00B27F7B">
        <w:rPr>
          <w:rFonts w:hAnsi="標楷體" w:hint="eastAsia"/>
          <w:szCs w:val="24"/>
        </w:rPr>
        <w:t>（</w:t>
      </w:r>
      <w:r w:rsidRPr="00B27F7B">
        <w:rPr>
          <w:rFonts w:hAnsi="標楷體"/>
          <w:szCs w:val="24"/>
        </w:rPr>
        <w:t xml:space="preserve"> </w:t>
      </w:r>
      <w:r w:rsidRPr="00B27F7B">
        <w:rPr>
          <w:rFonts w:hAnsi="標楷體" w:hint="eastAsia"/>
          <w:szCs w:val="24"/>
        </w:rPr>
        <w:t>）光碟片</w:t>
      </w:r>
      <w:r w:rsidR="00A508DC" w:rsidRPr="00B27F7B">
        <w:rPr>
          <w:rFonts w:hAnsi="標楷體"/>
          <w:szCs w:val="24"/>
        </w:rPr>
        <w:t xml:space="preserve">  </w:t>
      </w:r>
      <w:r w:rsidR="00A508DC">
        <w:rPr>
          <w:rFonts w:hAnsi="標楷體" w:hint="eastAsia"/>
          <w:szCs w:val="24"/>
        </w:rPr>
        <w:t xml:space="preserve"> </w:t>
      </w:r>
      <w:r w:rsidRPr="00B27F7B">
        <w:rPr>
          <w:rFonts w:hAnsi="標楷體" w:hint="eastAsia"/>
          <w:szCs w:val="24"/>
        </w:rPr>
        <w:t>（</w:t>
      </w:r>
      <w:r>
        <w:rPr>
          <w:rFonts w:hAnsi="標楷體" w:hint="eastAsia"/>
          <w:szCs w:val="24"/>
        </w:rPr>
        <w:t xml:space="preserve"> </w:t>
      </w:r>
      <w:r w:rsidRPr="00B27F7B">
        <w:rPr>
          <w:rFonts w:hAnsi="標楷體" w:hint="eastAsia"/>
          <w:szCs w:val="24"/>
        </w:rPr>
        <w:t>）其他</w:t>
      </w:r>
    </w:p>
    <w:p w14:paraId="2436327B" w14:textId="77777777"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三、資料範圍、週期及時效：</w:t>
      </w:r>
    </w:p>
    <w:p w14:paraId="03E41F95" w14:textId="77777777" w:rsidR="008A4295" w:rsidRDefault="002243FC" w:rsidP="00C54C76">
      <w:pPr>
        <w:spacing w:line="240" w:lineRule="atLeast"/>
        <w:ind w:leftChars="100" w:left="480" w:hangingChars="100" w:hanging="240"/>
        <w:rPr>
          <w:rFonts w:hAnsi="標楷體"/>
          <w:szCs w:val="24"/>
        </w:rPr>
      </w:pPr>
      <w:r w:rsidRPr="00B27F7B">
        <w:rPr>
          <w:rFonts w:hAnsi="標楷體" w:hint="eastAsia"/>
          <w:szCs w:val="24"/>
        </w:rPr>
        <w:t>＊統計地區範圍及對象：</w:t>
      </w:r>
    </w:p>
    <w:p w14:paraId="4E3B4F75" w14:textId="32AF2325" w:rsidR="002243FC" w:rsidRDefault="00443684" w:rsidP="008A4295">
      <w:pPr>
        <w:spacing w:line="240" w:lineRule="atLeast"/>
        <w:ind w:leftChars="200" w:left="480"/>
        <w:rPr>
          <w:rFonts w:hAnsi="標楷體"/>
          <w:szCs w:val="24"/>
        </w:rPr>
      </w:pPr>
      <w:r w:rsidRPr="00443684">
        <w:rPr>
          <w:rFonts w:hAnsi="標楷體" w:hint="eastAsia"/>
          <w:szCs w:val="24"/>
        </w:rPr>
        <w:t>凡</w:t>
      </w:r>
      <w:r>
        <w:rPr>
          <w:rFonts w:hAnsi="標楷體" w:hint="eastAsia"/>
          <w:szCs w:val="24"/>
        </w:rPr>
        <w:t>花蓮縣</w:t>
      </w:r>
      <w:r w:rsidRPr="00443684">
        <w:rPr>
          <w:rFonts w:hAnsi="標楷體" w:hint="eastAsia"/>
          <w:szCs w:val="24"/>
        </w:rPr>
        <w:t>依據兒童及少年福利與權益保障法由兒童及少年福利主管機關執行處罰案件，均為統計對象</w:t>
      </w:r>
      <w:r w:rsidR="00FA19A3">
        <w:rPr>
          <w:rFonts w:hAnsi="標楷體" w:hint="eastAsia"/>
          <w:szCs w:val="24"/>
        </w:rPr>
        <w:t>。</w:t>
      </w:r>
    </w:p>
    <w:p w14:paraId="70A05F12" w14:textId="77777777" w:rsidR="008A4295"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＊統計標準時間：</w:t>
      </w:r>
    </w:p>
    <w:p w14:paraId="54640CE0" w14:textId="22A35FD6" w:rsidR="002243FC" w:rsidRDefault="00443684" w:rsidP="008A4295">
      <w:pPr>
        <w:spacing w:line="240" w:lineRule="atLeast"/>
        <w:ind w:leftChars="200" w:left="720" w:hangingChars="100" w:hanging="240"/>
        <w:jc w:val="both"/>
        <w:rPr>
          <w:rFonts w:hAnsi="標楷體"/>
          <w:szCs w:val="24"/>
        </w:rPr>
      </w:pPr>
      <w:r w:rsidRPr="00443684">
        <w:rPr>
          <w:rFonts w:hAnsi="標楷體" w:hint="eastAsia"/>
          <w:szCs w:val="24"/>
        </w:rPr>
        <w:t>上半年以1至6月、下半年以7至12月之事實為準</w:t>
      </w:r>
      <w:r w:rsidR="00060616">
        <w:rPr>
          <w:rFonts w:hAnsi="標楷體" w:hint="eastAsia"/>
          <w:szCs w:val="24"/>
        </w:rPr>
        <w:t>。</w:t>
      </w:r>
    </w:p>
    <w:p w14:paraId="048BAB84" w14:textId="44E9BD8E" w:rsidR="00B70AC7" w:rsidRDefault="002243FC" w:rsidP="00827E1A">
      <w:pPr>
        <w:spacing w:line="240" w:lineRule="atLeast"/>
        <w:ind w:leftChars="100" w:left="480" w:hangingChars="100" w:hanging="240"/>
        <w:jc w:val="both"/>
        <w:rPr>
          <w:rFonts w:hAnsi="標楷體"/>
          <w:szCs w:val="24"/>
        </w:rPr>
      </w:pPr>
      <w:r w:rsidRPr="00B27F7B">
        <w:rPr>
          <w:rFonts w:hAnsi="標楷體" w:hint="eastAsia"/>
          <w:szCs w:val="24"/>
        </w:rPr>
        <w:t>＊統計項目定義：</w:t>
      </w:r>
    </w:p>
    <w:p w14:paraId="5619D836" w14:textId="006F45C7" w:rsidR="009073E6" w:rsidRDefault="00443684" w:rsidP="009073E6">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罰鍰：指行政處分罰鍰件數</w:t>
      </w:r>
      <w:r w:rsidR="000F598F" w:rsidRPr="000F598F">
        <w:rPr>
          <w:rFonts w:hAnsi="標楷體" w:hint="eastAsia"/>
          <w:szCs w:val="24"/>
        </w:rPr>
        <w:t>。</w:t>
      </w:r>
    </w:p>
    <w:p w14:paraId="482A9047" w14:textId="30919886" w:rsidR="00273F4B" w:rsidRDefault="00443684" w:rsidP="00273F4B">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強制執行：指前項處分，拒不繳納，於統計標準期間內移送行政執行處強制執行件數</w:t>
      </w:r>
      <w:r w:rsidR="00A57E98" w:rsidRPr="00A57E98">
        <w:rPr>
          <w:rFonts w:hAnsi="標楷體" w:hint="eastAsia"/>
          <w:szCs w:val="24"/>
        </w:rPr>
        <w:t>。</w:t>
      </w:r>
    </w:p>
    <w:p w14:paraId="360F8DA5" w14:textId="7273E38E" w:rsidR="00D92D5F" w:rsidRDefault="00443684" w:rsidP="00273F4B">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親職教育：係指兒童及少年福利與權益保障法第102條規定，施以強制性親職教育輔導</w:t>
      </w:r>
      <w:r w:rsidR="00A57E98">
        <w:rPr>
          <w:rFonts w:hAnsi="標楷體" w:hint="eastAsia"/>
          <w:szCs w:val="24"/>
        </w:rPr>
        <w:t>。</w:t>
      </w:r>
    </w:p>
    <w:p w14:paraId="15946B4C" w14:textId="04807D38" w:rsidR="00A57E98" w:rsidRDefault="003A7F25" w:rsidP="00A57E98">
      <w:pPr>
        <w:pStyle w:val="a5"/>
        <w:numPr>
          <w:ilvl w:val="0"/>
          <w:numId w:val="32"/>
        </w:numPr>
        <w:spacing w:line="240" w:lineRule="atLeast"/>
        <w:ind w:leftChars="100" w:left="720" w:hangingChars="200"/>
        <w:jc w:val="both"/>
        <w:rPr>
          <w:rFonts w:hAnsi="標楷體"/>
          <w:szCs w:val="24"/>
        </w:rPr>
      </w:pPr>
      <w:r w:rsidRPr="003A7F25">
        <w:rPr>
          <w:rFonts w:hAnsi="標楷體" w:hint="eastAsia"/>
          <w:szCs w:val="24"/>
        </w:rPr>
        <w:t>公布姓名或名稱：指違反兒童及少年福利與權益保障法第15條、26條之1、43條第4項、44條第2項、46條之1、47條、48條、49條、82條、83條及84條第3項，依法公布姓名或名稱於新聞紙或該府公告欄、公報等</w:t>
      </w:r>
      <w:r w:rsidR="00A57E98" w:rsidRPr="00A57E98">
        <w:rPr>
          <w:rFonts w:hAnsi="標楷體" w:hint="eastAsia"/>
          <w:szCs w:val="24"/>
        </w:rPr>
        <w:t>。</w:t>
      </w:r>
    </w:p>
    <w:p w14:paraId="3011199E" w14:textId="0886AC82"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没入物品、限期移除、下架或其他處置：指違反兒童及少年福利與權益保障法第</w:t>
      </w:r>
      <w:r w:rsidRPr="00443684">
        <w:rPr>
          <w:rFonts w:hAnsi="標楷體"/>
          <w:szCs w:val="24"/>
        </w:rPr>
        <w:t>69</w:t>
      </w:r>
      <w:r w:rsidRPr="00443684">
        <w:rPr>
          <w:rFonts w:hAnsi="標楷體" w:hint="eastAsia"/>
          <w:szCs w:val="24"/>
        </w:rPr>
        <w:t>條第</w:t>
      </w:r>
      <w:r w:rsidRPr="00443684">
        <w:rPr>
          <w:rFonts w:hAnsi="標楷體"/>
          <w:szCs w:val="24"/>
        </w:rPr>
        <w:t>1</w:t>
      </w:r>
      <w:r w:rsidRPr="00443684">
        <w:rPr>
          <w:rFonts w:hAnsi="標楷體" w:hint="eastAsia"/>
          <w:szCs w:val="24"/>
        </w:rPr>
        <w:t>項規定者，各目的事業主管機關，得沒入、限期移除、下架或為其他處置有關之宣導品、出版品、網際網路或其他媒體資訊</w:t>
      </w:r>
      <w:r w:rsidR="0048195A" w:rsidRPr="0048195A">
        <w:rPr>
          <w:rFonts w:hAnsi="標楷體" w:hint="eastAsia"/>
          <w:szCs w:val="24"/>
        </w:rPr>
        <w:t>。</w:t>
      </w:r>
    </w:p>
    <w:p w14:paraId="20480FD7" w14:textId="5C88EA78"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歇業：指違反兒童及少年福利與權益保障法第48條第2項，屆期未改善，情節嚴重者，由主管機關移請目的事業主管機關命其歇業</w:t>
      </w:r>
      <w:r>
        <w:rPr>
          <w:rFonts w:hAnsi="標楷體" w:hint="eastAsia"/>
          <w:szCs w:val="24"/>
        </w:rPr>
        <w:t>。</w:t>
      </w:r>
    </w:p>
    <w:p w14:paraId="1BAFA829" w14:textId="55294C6B"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lastRenderedPageBreak/>
        <w:t>勒令停業：指違反兒童及少年福利與權益保障法第43條第4項、第46條之1及第48條第2項者，得令其暫停營業</w:t>
      </w:r>
      <w:r w:rsidR="0048195A" w:rsidRPr="0048195A">
        <w:rPr>
          <w:rFonts w:hAnsi="標楷體" w:hint="eastAsia"/>
          <w:szCs w:val="24"/>
        </w:rPr>
        <w:t>。</w:t>
      </w:r>
    </w:p>
    <w:p w14:paraId="1AFBAB9E" w14:textId="2138777D"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停辦：指兒童及少年福利與權益保障法第81條、第82條第1項後段、83條及84條第3項，主管機關命兒童及少年福利機構停辦家數</w:t>
      </w:r>
      <w:r w:rsidR="0048195A" w:rsidRPr="0048195A">
        <w:rPr>
          <w:rFonts w:hAnsi="標楷體" w:hint="eastAsia"/>
          <w:szCs w:val="24"/>
        </w:rPr>
        <w:t>。</w:t>
      </w:r>
    </w:p>
    <w:p w14:paraId="25EE1263" w14:textId="324B55A7"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廢止許可：指兒童及少年福利與權益保障法第81條、第82條第1項後段、83條及84條第3項，兒童及少年福利機構仍未辦理財團法人登記、拒不停辦，設立許可主管機關廢止設立許可家數</w:t>
      </w:r>
      <w:r w:rsidR="0048195A" w:rsidRPr="0048195A">
        <w:rPr>
          <w:rFonts w:hAnsi="標楷體" w:hint="eastAsia"/>
          <w:szCs w:val="24"/>
        </w:rPr>
        <w:t>。</w:t>
      </w:r>
    </w:p>
    <w:p w14:paraId="39EC82E8" w14:textId="16509259" w:rsidR="0048195A" w:rsidRDefault="00443684" w:rsidP="0048195A">
      <w:pPr>
        <w:pStyle w:val="a5"/>
        <w:numPr>
          <w:ilvl w:val="0"/>
          <w:numId w:val="32"/>
        </w:numPr>
        <w:spacing w:line="240" w:lineRule="atLeast"/>
        <w:ind w:leftChars="100" w:left="720" w:hangingChars="200"/>
        <w:jc w:val="both"/>
        <w:rPr>
          <w:rFonts w:hAnsi="標楷體"/>
          <w:szCs w:val="24"/>
        </w:rPr>
      </w:pPr>
      <w:r w:rsidRPr="00443684">
        <w:rPr>
          <w:rFonts w:hAnsi="標楷體" w:hint="eastAsia"/>
          <w:szCs w:val="24"/>
        </w:rPr>
        <w:t>廢止登記：指兒童及少年福利與權益保障法第26條第4項及第5項，居家式托育服務提供者規避、妨礙或拒絕主管機關之管理、輔導、監督及檢查等事項，或其收托人數、登記及輔導結果屆期仍未改善，其情節重大或經處罰3次後仍未改善者，新北市主管機關廢止登記人數</w:t>
      </w:r>
      <w:r w:rsidR="0048195A" w:rsidRPr="0048195A">
        <w:rPr>
          <w:rFonts w:hAnsi="標楷體" w:hint="eastAsia"/>
          <w:szCs w:val="24"/>
        </w:rPr>
        <w:t>。</w:t>
      </w:r>
    </w:p>
    <w:p w14:paraId="51B93128" w14:textId="5F4AE7A3" w:rsidR="0048195A" w:rsidRDefault="003A7F25" w:rsidP="0048195A">
      <w:pPr>
        <w:pStyle w:val="a5"/>
        <w:numPr>
          <w:ilvl w:val="0"/>
          <w:numId w:val="32"/>
        </w:numPr>
        <w:spacing w:line="240" w:lineRule="atLeast"/>
        <w:ind w:leftChars="0" w:left="720" w:hangingChars="300" w:hanging="720"/>
        <w:jc w:val="both"/>
        <w:rPr>
          <w:rFonts w:hAnsi="標楷體"/>
          <w:szCs w:val="24"/>
        </w:rPr>
      </w:pPr>
      <w:r w:rsidRPr="003A7F25">
        <w:rPr>
          <w:rFonts w:hAnsi="標楷體" w:hint="eastAsia"/>
          <w:szCs w:val="24"/>
        </w:rPr>
        <w:t>不得擔任兒少福利機構工作人員負責人或工作人員：指違反兒童及少年福利與權益保障法第81條第2項之行為不得擔任兒童及少年福利機構負責人或工作人員人數</w:t>
      </w:r>
      <w:r w:rsidR="0048195A" w:rsidRPr="0048195A">
        <w:rPr>
          <w:rFonts w:hAnsi="標楷體" w:hint="eastAsia"/>
          <w:szCs w:val="24"/>
        </w:rPr>
        <w:t>。</w:t>
      </w:r>
    </w:p>
    <w:p w14:paraId="0BC9163A" w14:textId="28E61819" w:rsidR="002243FC" w:rsidRPr="00B27F7B" w:rsidRDefault="002243FC" w:rsidP="00841558">
      <w:pPr>
        <w:spacing w:line="240" w:lineRule="atLeast"/>
        <w:ind w:leftChars="100" w:left="480" w:hangingChars="100" w:hanging="240"/>
        <w:jc w:val="both"/>
        <w:rPr>
          <w:rFonts w:hAnsi="標楷體"/>
          <w:szCs w:val="24"/>
        </w:rPr>
      </w:pPr>
      <w:r w:rsidRPr="00B27F7B">
        <w:rPr>
          <w:rFonts w:hAnsi="標楷體" w:hint="eastAsia"/>
          <w:szCs w:val="24"/>
        </w:rPr>
        <w:t>＊統計單位：</w:t>
      </w:r>
      <w:r w:rsidR="00443684" w:rsidRPr="00443684">
        <w:rPr>
          <w:rFonts w:hAnsi="標楷體" w:hint="eastAsia"/>
          <w:szCs w:val="24"/>
        </w:rPr>
        <w:t>人、件、小時、家</w:t>
      </w:r>
      <w:r w:rsidR="007B38B8" w:rsidRPr="007B38B8">
        <w:rPr>
          <w:rFonts w:hAnsi="標楷體" w:hint="eastAsia"/>
          <w:szCs w:val="24"/>
        </w:rPr>
        <w:t>。</w:t>
      </w:r>
    </w:p>
    <w:p w14:paraId="12262FFA" w14:textId="77777777" w:rsidR="008A4295" w:rsidRDefault="002243FC" w:rsidP="007B113F">
      <w:pPr>
        <w:spacing w:line="240" w:lineRule="atLeast"/>
        <w:ind w:leftChars="100" w:left="480" w:hangingChars="100" w:hanging="240"/>
        <w:jc w:val="both"/>
        <w:rPr>
          <w:rFonts w:hAnsi="標楷體"/>
          <w:szCs w:val="24"/>
        </w:rPr>
      </w:pPr>
      <w:r w:rsidRPr="00B27F7B">
        <w:rPr>
          <w:rFonts w:hAnsi="標楷體" w:hint="eastAsia"/>
          <w:szCs w:val="24"/>
        </w:rPr>
        <w:t>＊統計分類：</w:t>
      </w:r>
    </w:p>
    <w:p w14:paraId="6D4D9BB4" w14:textId="69FFB741" w:rsidR="007B00BF" w:rsidRDefault="00443684" w:rsidP="008A4295">
      <w:pPr>
        <w:spacing w:line="240" w:lineRule="atLeast"/>
        <w:ind w:leftChars="200" w:left="720" w:hangingChars="100" w:hanging="240"/>
        <w:jc w:val="both"/>
        <w:rPr>
          <w:rFonts w:hAnsi="標楷體"/>
          <w:szCs w:val="24"/>
        </w:rPr>
      </w:pPr>
      <w:r w:rsidRPr="00443684">
        <w:rPr>
          <w:rFonts w:hAnsi="標楷體" w:hint="eastAsia"/>
          <w:szCs w:val="24"/>
        </w:rPr>
        <w:t>依「兒童及少年福利與權益保障法」各條款所定違反行為</w:t>
      </w:r>
      <w:r w:rsidR="00586444">
        <w:rPr>
          <w:rFonts w:hAnsi="標楷體" w:hint="eastAsia"/>
          <w:szCs w:val="24"/>
        </w:rPr>
        <w:t>。</w:t>
      </w:r>
    </w:p>
    <w:p w14:paraId="5D409A66" w14:textId="34147E5D"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第14條第1項：胎兒出生後7日內，接生人應將其出生之相關資料通報衛生主管機關備查；其為死產者，亦同。</w:t>
      </w:r>
    </w:p>
    <w:p w14:paraId="11408AC2" w14:textId="58FC8AE6"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第15條第1項：從事收出養媒合服務，以經主管機關許可之財團法人、公私立兒童及少年安置、教養機構為限。</w:t>
      </w:r>
    </w:p>
    <w:p w14:paraId="6B697A0F" w14:textId="10379A34"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第21條第3項：辦理收出養業務、資訊保存或其他相關事項之人員，對於第1項資訊，應妥善維護當事人之隱私，除法律另有規定外，應予保密。</w:t>
      </w:r>
    </w:p>
    <w:p w14:paraId="402368F3" w14:textId="382067CE"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第26條第1項：居家式托育服務提供者，應向新北市主管機關辦理登記。</w:t>
      </w:r>
    </w:p>
    <w:p w14:paraId="4E3B2C37" w14:textId="453D866C"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第26條第4項：居家式托育服務提供者對於前項之管理、輔導、監督及檢查等事項，不得規避、妨礙或拒絕，並應提供必要之協助。</w:t>
      </w:r>
    </w:p>
    <w:p w14:paraId="645AA65D" w14:textId="741A7E61"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第26條第5項：違反居家式托育服務提供者之收托人數、登記、輔導、管理、撤銷與廢止登記、收退費規定及其他應遵行事項之辦法，其有關收托人數、登記或輔導結果列入應改善而屆期未改善之規定。</w:t>
      </w:r>
    </w:p>
    <w:p w14:paraId="376F4374" w14:textId="2D3B5096"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26條之1第4項：曾犯性侵害犯罪防治法第2條第1項之罪、性騷擾防治法第25條之罪、兒童及少年性交易防制條例之罪、兒童及少年性剝削防制條例之罪，經緩起訴處分或有罪判決確定等第26條之1第1項各款情事，新北市主管機關應命居家式托育服務提供者停止服務，並強制轉介其收托之兒童。已完成登記者，廢止其登記。</w:t>
      </w:r>
    </w:p>
    <w:p w14:paraId="578F4EAD" w14:textId="62F8D819"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29條第3項：違反載運兒少之幼童專用車、公私立學校校車、短期補習班或兒童課後照顧服務班及中心等交通載具之申請程序、輔導措施、管理與隨車人員之督導管理及其他應遵行事項之辦法，以未經核准或備查之車輛載運學生、載運人超過數超過汽車行車執照核定數額、未依學生交通車規定載運學生、未配置符合資格之隨車人員隨車照護學生。</w:t>
      </w:r>
    </w:p>
    <w:p w14:paraId="7F8714D0" w14:textId="7967AAD5"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第33條第3項：國內大眾交通運輸、文教設施、風景區與康樂場所等公營、公辦民營</w:t>
      </w:r>
      <w:r w:rsidRPr="00443684">
        <w:rPr>
          <w:rFonts w:hAnsi="標楷體" w:hint="eastAsia"/>
          <w:szCs w:val="24"/>
        </w:rPr>
        <w:lastRenderedPageBreak/>
        <w:t>及民營事業，應以年齡為標準，提供兒童優惠措施，並應提供未滿一定年齡之兒童免費優惠。</w:t>
      </w:r>
    </w:p>
    <w:p w14:paraId="1911A3D8" w14:textId="6EBDB8B2" w:rsidR="00443684" w:rsidRDefault="00443684" w:rsidP="00443684">
      <w:pPr>
        <w:pStyle w:val="a5"/>
        <w:numPr>
          <w:ilvl w:val="0"/>
          <w:numId w:val="36"/>
        </w:numPr>
        <w:spacing w:line="240" w:lineRule="atLeast"/>
        <w:ind w:leftChars="100" w:hangingChars="200"/>
        <w:jc w:val="both"/>
        <w:rPr>
          <w:rFonts w:hAnsi="標楷體"/>
          <w:szCs w:val="24"/>
        </w:rPr>
      </w:pPr>
      <w:r w:rsidRPr="00443684">
        <w:rPr>
          <w:rFonts w:hAnsi="標楷體" w:hint="eastAsia"/>
          <w:szCs w:val="24"/>
        </w:rPr>
        <w:t>第33條第4項：違反各目的事業主管機關訂定之兒童優惠措施適用範圍及一定年齡。</w:t>
      </w:r>
    </w:p>
    <w:p w14:paraId="7F6388C2" w14:textId="7EB1630A"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33條之1：「提供民眾申辦業務或服務之政府機關（構）及公營事業」、「鐵路車站、航空站及捷運交會轉乘站」、「營業場所總樓地板面積一萬平方公尺以上之百貨公司及零售式量販店」、「設有兒科病房或產科病房之區域級以上醫院」、「觀光遊樂業之園區」及「其他經各級交通主管機關公告之場所」等公共場所附設之公共停車場，應保留2﹪之汽車停車位，作為孕婦、育有六歲以下兒童者之停車位；汽車停車位未滿50個之公共停車場，至少應保留一個孕婦、育有6歲以下兒童者之停車位。但汽車停車位未滿25個之公共停車場，不在此限。</w:t>
      </w:r>
    </w:p>
    <w:p w14:paraId="763177CE" w14:textId="206F4270"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43條：兒童及少年不得為下列行為：1.吸菸、飲酒、嚼檳榔。2.施用毒品、非法施用管制藥品或其他有害身心健康之物質。3.觀看、閱覽、收聽或使用有害其身心健康之暴力、血腥、色情、猥褻、賭博之出版品、圖畫、錄影節目帶、影片、光碟、磁片、電子訊號、遊戲軟體、網際網路內容或其他物品。4.在道路上競駛、競技或以蛇行等危險方式駕車或參與其行為。5.超過合理時間持續使用電子類產品，致有害身心健康。父母、監護人或其他實際照顧兒童及少年之人，應禁止兒童及少年為前項各款行為。任何人均不得販賣、交付或供應第1項第1款至第3款之物質、物品予兒童及少年。任何人均不得對兒童及少年散布或播送第1項第3款之內容或物品。</w:t>
      </w:r>
    </w:p>
    <w:p w14:paraId="67547FFA" w14:textId="2F4C9977"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44條：違反新聞紙以外之出版品、錄影節目帶、遊戲軟體之分級類別、內容、標示、陳列方式、管理、有分級管理義務之人及其他應遵行事項之辦法，其有關分級類別、內容、標示及陳列方式，使兒童及少年觀看或取得應列為限制級之物品。</w:t>
      </w:r>
    </w:p>
    <w:p w14:paraId="28A82BDF" w14:textId="770B86D0"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45條第3項：新聞紙業者經舉發有違反刊載過度描述(繪)強制性交、猥褻、自殺、施用毒品等行為細節文字或圖片等有害兒童及少年身心健康內容之情事者，報業商業同業公會應於3個月內，依據前項自律規範及審議機制處置。必要時，得延長1個月。</w:t>
      </w:r>
    </w:p>
    <w:p w14:paraId="103FBF65" w14:textId="1C9D986C"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45條第4項：有下列情事之一者，主管機關應邀請報業商業同業公會代表、兒童及少年福利團體代表以及專家學者代表，依第2項備查之自律規範，共同審議認定之：1.非屬報業商業同業公會會員之新聞紙業者經舉發有違反第1項之情事。2.報業商業同業公會就前項案件逾期不處置。3.報業商業同業公會就前項案件之處置結果，經新聞紙刊載之當事人、受處置之新聞紙業者或兒童及少年福利團體申訴。</w:t>
      </w:r>
    </w:p>
    <w:p w14:paraId="64ED23A0" w14:textId="1D3E7C1F"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第46條第3項：網際網路平臺提供者經目的事業主管機關告知網際網路內容有害兒童及少年身心健康或違反前項規定未採取明確可行防護措施者，應為限制兒童及少年接取、瀏覽之措施，或先行移除。</w:t>
      </w:r>
    </w:p>
    <w:p w14:paraId="012C6138" w14:textId="47C6BE62"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第46條之1：任何人不得於網際網路散布或傳送有害兒童及少年身心健康之內容，未採取明確可行之防護措施，或未配合網際網路平臺提供者之防護機制，使兒童及少年得以接取或瀏覽。</w:t>
      </w:r>
    </w:p>
    <w:p w14:paraId="2E828E18" w14:textId="4B30165E"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47條：兒童及少年不得出入酒家、特種咖啡茶室、成人用品零售業、限制級電子遊戲場及其他涉及賭博、色情、暴力等經主管機關認定足以危害其身心健康之場所。父母、監護人或其他實際照顧兒童及少年之人，應禁止兒童及少年出入前項場所。第1項場所</w:t>
      </w:r>
      <w:r w:rsidRPr="00443684">
        <w:rPr>
          <w:rFonts w:hAnsi="標楷體" w:hint="eastAsia"/>
          <w:szCs w:val="24"/>
        </w:rPr>
        <w:lastRenderedPageBreak/>
        <w:t>之負責人及從業人員應拒絕兒童及少年進入。第1項之場所應距離幼兒園、國民中小學、高中、職校200公尺以上，並檢附證明文件，經商業登記主管機關登記後，始得營業。</w:t>
      </w:r>
    </w:p>
    <w:p w14:paraId="0ED700F3" w14:textId="63C3A945"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48條第1項：父母、監護人或其他實際照顧兒童及少年之人，應禁止兒童及少年充當酒家、特種咖啡茶室、成人用品零售店、限制級電子遊戲場及其他涉賭博、色情、暴力等經主管機關認定足以危害其身心健康場所之侍應或從事危險、不正當或其他足以危害或影響其身心發展之工作。</w:t>
      </w:r>
    </w:p>
    <w:p w14:paraId="6441A590" w14:textId="60931630"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第48條第2項：任何人不得利用、僱用或誘迫兒童及少年從事前項之工作。</w:t>
      </w:r>
    </w:p>
    <w:p w14:paraId="05C7132C" w14:textId="5724B90B"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w:t>
      </w:r>
      <w:r w:rsidRPr="00443684">
        <w:rPr>
          <w:rFonts w:hAnsi="標楷體"/>
          <w:szCs w:val="24"/>
        </w:rPr>
        <w:t>49</w:t>
      </w:r>
      <w:r w:rsidRPr="00443684">
        <w:rPr>
          <w:rFonts w:hAnsi="標楷體" w:hint="eastAsia"/>
          <w:szCs w:val="24"/>
        </w:rPr>
        <w:t>條：任何人對於兒童及少年不得有下列行為：</w:t>
      </w:r>
      <w:r w:rsidRPr="00443684">
        <w:rPr>
          <w:rFonts w:hAnsi="標楷體"/>
          <w:szCs w:val="24"/>
        </w:rPr>
        <w:t>1.</w:t>
      </w:r>
      <w:r w:rsidRPr="00443684">
        <w:rPr>
          <w:rFonts w:hAnsi="標楷體" w:hint="eastAsia"/>
          <w:szCs w:val="24"/>
        </w:rPr>
        <w:t>遺棄。</w:t>
      </w:r>
      <w:r w:rsidRPr="00443684">
        <w:rPr>
          <w:rFonts w:hAnsi="標楷體"/>
          <w:szCs w:val="24"/>
        </w:rPr>
        <w:t>2.</w:t>
      </w:r>
      <w:r w:rsidRPr="00443684">
        <w:rPr>
          <w:rFonts w:hAnsi="標楷體" w:hint="eastAsia"/>
          <w:szCs w:val="24"/>
        </w:rPr>
        <w:t>身心虐待。</w:t>
      </w:r>
      <w:r w:rsidRPr="00443684">
        <w:rPr>
          <w:rFonts w:hAnsi="標楷體"/>
          <w:szCs w:val="24"/>
        </w:rPr>
        <w:t>3.</w:t>
      </w:r>
      <w:r w:rsidRPr="00443684">
        <w:rPr>
          <w:rFonts w:hAnsi="標楷體" w:hint="eastAsia"/>
          <w:szCs w:val="24"/>
        </w:rPr>
        <w:t>利用兒童及少年從事有害健康等危害性活動或欺騙之行為。</w:t>
      </w:r>
      <w:r w:rsidRPr="00443684">
        <w:rPr>
          <w:rFonts w:hAnsi="標楷體"/>
          <w:szCs w:val="24"/>
        </w:rPr>
        <w:t>4.</w:t>
      </w:r>
      <w:r w:rsidRPr="00443684">
        <w:rPr>
          <w:rFonts w:hAnsi="標楷體" w:hint="eastAsia"/>
          <w:szCs w:val="24"/>
        </w:rPr>
        <w:t>利用身心障礙或特殊形體兒童及少年供人參觀。</w:t>
      </w:r>
      <w:r w:rsidRPr="00443684">
        <w:rPr>
          <w:rFonts w:hAnsi="標楷體"/>
          <w:szCs w:val="24"/>
        </w:rPr>
        <w:t>5.</w:t>
      </w:r>
      <w:r w:rsidRPr="00443684">
        <w:rPr>
          <w:rFonts w:hAnsi="標楷體" w:hint="eastAsia"/>
          <w:szCs w:val="24"/>
        </w:rPr>
        <w:t>利用兒童及少年行乞。</w:t>
      </w:r>
      <w:r w:rsidRPr="00443684">
        <w:rPr>
          <w:rFonts w:hAnsi="標楷體"/>
          <w:szCs w:val="24"/>
        </w:rPr>
        <w:t>6.</w:t>
      </w:r>
      <w:r w:rsidRPr="00443684">
        <w:rPr>
          <w:rFonts w:hAnsi="標楷體" w:hint="eastAsia"/>
          <w:szCs w:val="24"/>
        </w:rPr>
        <w:t>剝奪或妨礙兒童及少年接受國民教育之機會。</w:t>
      </w:r>
      <w:r w:rsidRPr="00443684">
        <w:rPr>
          <w:rFonts w:hAnsi="標楷體"/>
          <w:szCs w:val="24"/>
        </w:rPr>
        <w:t>7.</w:t>
      </w:r>
      <w:r w:rsidRPr="00443684">
        <w:rPr>
          <w:rFonts w:hAnsi="標楷體" w:hint="eastAsia"/>
          <w:szCs w:val="24"/>
        </w:rPr>
        <w:t>強迫兒童及少年婚嫁。</w:t>
      </w:r>
      <w:r w:rsidRPr="00443684">
        <w:rPr>
          <w:rFonts w:hAnsi="標楷體"/>
          <w:szCs w:val="24"/>
        </w:rPr>
        <w:t>8.</w:t>
      </w:r>
      <w:r w:rsidRPr="00443684">
        <w:rPr>
          <w:rFonts w:hAnsi="標楷體" w:hint="eastAsia"/>
          <w:szCs w:val="24"/>
        </w:rPr>
        <w:t>拐騙、綁架、買賣、質押兒童及少年。</w:t>
      </w:r>
      <w:r w:rsidRPr="00443684">
        <w:rPr>
          <w:rFonts w:hAnsi="標楷體"/>
          <w:szCs w:val="24"/>
        </w:rPr>
        <w:t>9.</w:t>
      </w:r>
      <w:r w:rsidRPr="00443684">
        <w:rPr>
          <w:rFonts w:hAnsi="標楷體" w:hint="eastAsia"/>
          <w:szCs w:val="24"/>
        </w:rPr>
        <w:t>強迫、引誘、容留或媒介兒童及少年為猥褻行為或性交。</w:t>
      </w:r>
      <w:r w:rsidRPr="00443684">
        <w:rPr>
          <w:rFonts w:hAnsi="標楷體"/>
          <w:szCs w:val="24"/>
        </w:rPr>
        <w:t>10.</w:t>
      </w:r>
      <w:r w:rsidRPr="00443684">
        <w:rPr>
          <w:rFonts w:hAnsi="標楷體" w:hint="eastAsia"/>
          <w:szCs w:val="24"/>
        </w:rPr>
        <w:t>供應兒童及少年刀械、槍礟、彈藥或其他危險物品。</w:t>
      </w:r>
      <w:r w:rsidRPr="00443684">
        <w:rPr>
          <w:rFonts w:hAnsi="標楷體"/>
          <w:szCs w:val="24"/>
        </w:rPr>
        <w:t>11.</w:t>
      </w:r>
      <w:r w:rsidRPr="00443684">
        <w:rPr>
          <w:rFonts w:hAnsi="標楷體" w:hint="eastAsia"/>
          <w:szCs w:val="24"/>
        </w:rPr>
        <w:t>利用兒童及少年拍攝或錄製暴力、血腥、色情、猥褻、性交或其他有害兒童及少年身心健康之出版品、圖畫、錄影節目帶、影片、光碟、磁片、電子訊號、遊戲軟體、網際網路內容或其他物品。12.迫使或誘使兒童及少年處於對其生命、身體易發生立即危險或傷害之環境。13.帶領或誘使兒童及少年進入有礙其身心健康之場所。14.強迫、引誘、容留或媒介兒童及少年為自殺行為。15.其他對兒童及少年或利用兒童及少年犯罪或為不正當之行為。</w:t>
      </w:r>
    </w:p>
    <w:p w14:paraId="36DBB06A" w14:textId="0EFA6E1C"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第50條第2項：任何人不得強迫、引誘或以其他方式使孕婦為有害胎兒發育之行為。</w:t>
      </w:r>
    </w:p>
    <w:p w14:paraId="385EE6BD" w14:textId="51C59DFD"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第51條：父母、監護人或其他實際照顧兒童及少年之人，不得使6歲以下兒童或需要特別看護之兒童及少年獨處或由不適當之人代為照顧。</w:t>
      </w:r>
    </w:p>
    <w:p w14:paraId="254AD093" w14:textId="1ED3C96E"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53條第1項：醫事人員、社會工作人員、教育人員、保育人員、教保服務人員、警察、司法人員、移民業務人員、戶政人員、村（里）幹事及其他執行兒童及少年福利業務人員，於執行業務時知悉兒童及少年有下列情形之一者，應立即向新北市主管機關通報，至遲不得超過24小時：1.施用毒品、非法施用管制藥品或其他有害身心健康之物質。2.充當第47條第1項場所之侍應。3.遭受第49條第1項各款之行為。4.有第51條之情形。5.有第56條第一項各款之情形。6.遭受其他傷害之情形。</w:t>
      </w:r>
    </w:p>
    <w:p w14:paraId="3DE351BC" w14:textId="1A030D74"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第53條第5項：第1項及第2項通報人之身分資料，應予保密。</w:t>
      </w:r>
    </w:p>
    <w:p w14:paraId="0227E5B3" w14:textId="21DA90AD"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第54條第5項：第1項通報人之身分資料，應予保密。</w:t>
      </w:r>
    </w:p>
    <w:p w14:paraId="58ECF139" w14:textId="0558C719"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56條第1項：兒童及少年有下列各款情形之一者，新北市主管機關應予保護、安置或為其他處置；必要時得進行緊急安置：1.兒童及少年未受適當之養育或照顧。2.兒童及少年有立即接受醫療之必要，而未就醫者。3.兒童及少年遭受遺棄、身心虐待、買賣、質押，被強迫或引誘從事不正當之行為或工作者。4.兒童及少年遭受其他迫害，非立即安置難以有效保護者。</w:t>
      </w:r>
    </w:p>
    <w:p w14:paraId="39DAC01B" w14:textId="390FF3AA"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第66條第2項：因職務上所知悉之秘密或隱私及所製作或持有之文書，應予保密，非有正當理由，不得洩漏或公開。</w:t>
      </w:r>
    </w:p>
    <w:p w14:paraId="340399B3" w14:textId="31B113AE"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第69條第1項：宣傳品、出版品、廣播、電視、網際網路或其他媒體對下列兒童及少</w:t>
      </w:r>
      <w:r w:rsidRPr="00443684">
        <w:rPr>
          <w:rFonts w:hAnsi="標楷體" w:hint="eastAsia"/>
          <w:szCs w:val="24"/>
        </w:rPr>
        <w:lastRenderedPageBreak/>
        <w:t>年不得報導或記載其姓名或其他足以識別身分之資訊：1.遭受第49條或第56條第1項各款行為。2.施用毒品、非法施用管制藥品或其他有害身心健康之物質。3.為否認子女之訴、收養事件、親權行使、負擔事件或監護權之選定、酌定、改定事件之當事人或關係人。4.為刑事案件、少年保護事件之當事人或被害人。</w:t>
      </w:r>
    </w:p>
    <w:p w14:paraId="714CC284" w14:textId="74596ED5" w:rsidR="00443684" w:rsidRDefault="00443684" w:rsidP="00443684">
      <w:pPr>
        <w:pStyle w:val="a5"/>
        <w:numPr>
          <w:ilvl w:val="0"/>
          <w:numId w:val="36"/>
        </w:numPr>
        <w:spacing w:line="240" w:lineRule="atLeast"/>
        <w:ind w:leftChars="0" w:hangingChars="300" w:hanging="720"/>
        <w:jc w:val="both"/>
        <w:rPr>
          <w:rFonts w:hAnsi="標楷體"/>
          <w:szCs w:val="24"/>
        </w:rPr>
      </w:pPr>
      <w:r w:rsidRPr="00443684">
        <w:rPr>
          <w:rFonts w:hAnsi="標楷體" w:hint="eastAsia"/>
          <w:szCs w:val="24"/>
        </w:rPr>
        <w:t>第69條第3項：除前二項以外之任何人亦不得於媒體、資訊或以其他公示方式揭示有關第1項兒童及少年之姓名及其他足以識別身分之資訊。</w:t>
      </w:r>
    </w:p>
    <w:p w14:paraId="25FDCEB4" w14:textId="0091DBED"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70條第2項：新北市主管機關、受其委託之機構、團體或專業人員進行訪視、調查及處遇時，兒童及少年之父母、監護人、其他實際照顧兒童及少年之人、師長、雇主、醫事人員及其他有關之人應予配合並提供相關資料；必要時，該新北市主管機關，得請求警政、戶政、財政、教育或其他相關機關(構)協助，受請求之機關(構)應予配合。</w:t>
      </w:r>
    </w:p>
    <w:p w14:paraId="76AEC658" w14:textId="44FF0C83" w:rsidR="00443684" w:rsidRDefault="00443684" w:rsidP="00443684">
      <w:pPr>
        <w:pStyle w:val="a5"/>
        <w:numPr>
          <w:ilvl w:val="0"/>
          <w:numId w:val="36"/>
        </w:numPr>
        <w:spacing w:line="240" w:lineRule="atLeast"/>
        <w:ind w:leftChars="-100" w:hangingChars="400" w:hanging="960"/>
        <w:jc w:val="both"/>
        <w:rPr>
          <w:rFonts w:hAnsi="標楷體"/>
          <w:szCs w:val="24"/>
        </w:rPr>
      </w:pPr>
      <w:r w:rsidRPr="00443684">
        <w:rPr>
          <w:rFonts w:hAnsi="標楷體" w:hint="eastAsia"/>
          <w:szCs w:val="24"/>
        </w:rPr>
        <w:t>第76條及第82條第1項：私人或團體辦理兒童及少年福利機構，以向當地主管機關申請設立許可者為限；其有對外勸募行為或享受租稅減免者，應於設立許可之日起六個月內辦理財團法人登記。</w:t>
      </w:r>
    </w:p>
    <w:p w14:paraId="078FDF26" w14:textId="14D74A26" w:rsidR="00443684" w:rsidRDefault="003A7F25" w:rsidP="00443684">
      <w:pPr>
        <w:pStyle w:val="a5"/>
        <w:numPr>
          <w:ilvl w:val="0"/>
          <w:numId w:val="36"/>
        </w:numPr>
        <w:spacing w:line="240" w:lineRule="atLeast"/>
        <w:ind w:leftChars="-100" w:hangingChars="400" w:hanging="960"/>
        <w:jc w:val="both"/>
        <w:rPr>
          <w:rFonts w:hAnsi="標楷體"/>
          <w:szCs w:val="24"/>
        </w:rPr>
      </w:pPr>
      <w:r w:rsidRPr="003A7F25">
        <w:rPr>
          <w:rFonts w:hAnsi="標楷體" w:hint="eastAsia"/>
          <w:szCs w:val="24"/>
        </w:rPr>
        <w:t>第81條第2項：有第49條第1項各款所定行為之一，經有關機關查證屬實或有客觀事實認有性侵害、性騷擾、性霸凌行為，經有關機關（構）、學校查證屬實之行為，不得擔任兒童及少年福利機構負責人或工作人員之期間，由主管機關審酌情節嚴重程度認定</w:t>
      </w:r>
      <w:r w:rsidR="00480027" w:rsidRPr="00480027">
        <w:rPr>
          <w:rFonts w:hAnsi="標楷體" w:hint="eastAsia"/>
          <w:szCs w:val="24"/>
        </w:rPr>
        <w:t>。</w:t>
      </w:r>
    </w:p>
    <w:p w14:paraId="3B5C431A" w14:textId="297C485E" w:rsidR="00480027" w:rsidRDefault="00480027" w:rsidP="00443684">
      <w:pPr>
        <w:pStyle w:val="a5"/>
        <w:numPr>
          <w:ilvl w:val="0"/>
          <w:numId w:val="36"/>
        </w:numPr>
        <w:spacing w:line="240" w:lineRule="atLeast"/>
        <w:ind w:leftChars="-100" w:hangingChars="400" w:hanging="960"/>
        <w:jc w:val="both"/>
        <w:rPr>
          <w:rFonts w:hAnsi="標楷體"/>
          <w:szCs w:val="24"/>
        </w:rPr>
      </w:pPr>
      <w:r w:rsidRPr="00480027">
        <w:rPr>
          <w:rFonts w:hAnsi="標楷體" w:hint="eastAsia"/>
          <w:szCs w:val="24"/>
        </w:rPr>
        <w:t>第81條第5項規定：主管機關應主動查證兒童及少年福利機構負責人是否曾犯性侵害犯罪防治法第2條第1項之罪、性騷擾防治法第25條之罪、兒童及少年性交易防制條例之罪、兒童及少年性剝削防制條例之罪，經緩起訴處分或有罪判決確定等第81條第1項各款情事；兒童及少年福利機構聘僱工作人員之前，亦應主動查詢，受請求查詢機關應協助查復。</w:t>
      </w:r>
    </w:p>
    <w:p w14:paraId="1FF0FBD1" w14:textId="17F7907C" w:rsidR="00480027" w:rsidRDefault="00480027" w:rsidP="00443684">
      <w:pPr>
        <w:pStyle w:val="a5"/>
        <w:numPr>
          <w:ilvl w:val="0"/>
          <w:numId w:val="36"/>
        </w:numPr>
        <w:spacing w:line="240" w:lineRule="atLeast"/>
        <w:ind w:leftChars="-100" w:hangingChars="400" w:hanging="960"/>
        <w:jc w:val="both"/>
        <w:rPr>
          <w:rFonts w:hAnsi="標楷體"/>
          <w:szCs w:val="24"/>
        </w:rPr>
      </w:pPr>
      <w:r w:rsidRPr="00480027">
        <w:rPr>
          <w:rFonts w:hAnsi="標楷體" w:hint="eastAsia"/>
          <w:szCs w:val="24"/>
        </w:rPr>
        <w:t>第81條第7項規定：現職工作人員曾犯性侵害犯罪防治法第2條第1項之罪、性騷擾防治法第25條之罪、兒童及少年性交易防制條例之罪、兒童及少年性剝削防制條例之罪，經緩起訴處分或有罪判決確定等第81條之1第1項各款情事，兒童及少年福利機構應即停止其職務，並得予以調職、資遣、令其退休或終止勞動契約。</w:t>
      </w:r>
    </w:p>
    <w:p w14:paraId="0F6EA51D" w14:textId="4C4B2391" w:rsidR="00480027" w:rsidRDefault="00480027" w:rsidP="00443684">
      <w:pPr>
        <w:pStyle w:val="a5"/>
        <w:numPr>
          <w:ilvl w:val="0"/>
          <w:numId w:val="36"/>
        </w:numPr>
        <w:spacing w:line="240" w:lineRule="atLeast"/>
        <w:ind w:leftChars="-100" w:hangingChars="400" w:hanging="960"/>
        <w:jc w:val="both"/>
        <w:rPr>
          <w:rFonts w:hAnsi="標楷體"/>
          <w:szCs w:val="24"/>
        </w:rPr>
      </w:pPr>
      <w:r w:rsidRPr="00480027">
        <w:rPr>
          <w:rFonts w:hAnsi="標楷體" w:hint="eastAsia"/>
          <w:szCs w:val="24"/>
        </w:rPr>
        <w:t>第81條之1第5項至第7項規定：教育主管機關應主動查證兒童課後照顧服務班及中心負責人是否有第一項各款情事；兒童課後照顧服務班及中心聘僱工作人員之前，亦應主動查詢，受請求查詢機關應協助查復。兒童課後照顧服務班及中心聘僱工作人員前，應檢具名冊，並檢附資格證明文件影本、切結書、健康檢查表影本、最近三個月內核發之警察刑事紀錄證明書及其他相關文件，報教育主管機關核准；教育主管機關應主動查證並得派員檢查；人員異動時，亦同。但現職教師兼任之工作人員，得免附相關文件。現職工作人員有第一項各款情事之一者，兒童課後照顧服務班及中心應即停止其職務，並得予以調職、資遣、令其退休或終止勞動契約。</w:t>
      </w:r>
    </w:p>
    <w:p w14:paraId="79A053D4" w14:textId="182A6FD7" w:rsidR="00480027" w:rsidRDefault="00480027" w:rsidP="00443684">
      <w:pPr>
        <w:pStyle w:val="a5"/>
        <w:numPr>
          <w:ilvl w:val="0"/>
          <w:numId w:val="36"/>
        </w:numPr>
        <w:spacing w:line="240" w:lineRule="atLeast"/>
        <w:ind w:leftChars="-100" w:hangingChars="400" w:hanging="960"/>
        <w:jc w:val="both"/>
        <w:rPr>
          <w:rFonts w:hAnsi="標楷體"/>
          <w:szCs w:val="24"/>
        </w:rPr>
      </w:pPr>
      <w:r w:rsidRPr="00480027">
        <w:rPr>
          <w:rFonts w:hAnsi="標楷體" w:hint="eastAsia"/>
          <w:szCs w:val="24"/>
        </w:rPr>
        <w:t>第83條：兒童及少年福利機構不得有下列情形之一：1.虐待或妨害兒童及少年身心健康。2.供給不衛生之餐飲，經衛生主管機關查明屬實。3.提供不安全之設施或設備，經目的事業主管機關查明屬實。4.發現兒童及少年受虐事實，未向新北市主管機關通報。5.違反法令或捐助章程。6.業務經營方針與設立目的不符。7.財務收支未取具合法之憑證、捐款未公開徵信或會計紀錄未完備。8.規避、妨礙或拒絕主管機關或目的事業主管</w:t>
      </w:r>
      <w:r w:rsidRPr="00480027">
        <w:rPr>
          <w:rFonts w:hAnsi="標楷體" w:hint="eastAsia"/>
          <w:szCs w:val="24"/>
        </w:rPr>
        <w:lastRenderedPageBreak/>
        <w:t>機關輔導、檢查、監督。9.對各項工作業務報告申報不實。10.擴充、遷移、停業、歇業、復業未依規定辦理。11.有其他情事，足以影響兒童及少年身心健康。</w:t>
      </w:r>
    </w:p>
    <w:p w14:paraId="2F114F24" w14:textId="3CEF6CCE" w:rsidR="00480027" w:rsidRDefault="003A7F25" w:rsidP="00443684">
      <w:pPr>
        <w:pStyle w:val="a5"/>
        <w:numPr>
          <w:ilvl w:val="0"/>
          <w:numId w:val="36"/>
        </w:numPr>
        <w:spacing w:line="240" w:lineRule="atLeast"/>
        <w:ind w:leftChars="-100" w:hangingChars="400" w:hanging="960"/>
        <w:jc w:val="both"/>
        <w:rPr>
          <w:rFonts w:hAnsi="標楷體"/>
          <w:szCs w:val="24"/>
        </w:rPr>
      </w:pPr>
      <w:r w:rsidRPr="003A7F25">
        <w:rPr>
          <w:rFonts w:hAnsi="標楷體" w:hint="eastAsia"/>
          <w:szCs w:val="24"/>
        </w:rPr>
        <w:t>第84條第3項：主管機關應辦理輔導、監督、檢查、獎勵及定期評鑑兒童及少年福利機構並公布評鑑報告及結果。評鑑對象、項目、方式及獎勵方式等辦法，由主管機關定之</w:t>
      </w:r>
      <w:r w:rsidR="00480027" w:rsidRPr="00480027">
        <w:rPr>
          <w:rFonts w:hAnsi="標楷體" w:hint="eastAsia"/>
          <w:szCs w:val="24"/>
        </w:rPr>
        <w:t>。</w:t>
      </w:r>
    </w:p>
    <w:p w14:paraId="12879B75" w14:textId="7A790A4D" w:rsidR="00480027" w:rsidRPr="00443684" w:rsidRDefault="00480027" w:rsidP="00443684">
      <w:pPr>
        <w:pStyle w:val="a5"/>
        <w:numPr>
          <w:ilvl w:val="0"/>
          <w:numId w:val="36"/>
        </w:numPr>
        <w:spacing w:line="240" w:lineRule="atLeast"/>
        <w:ind w:leftChars="-100" w:hangingChars="400" w:hanging="960"/>
        <w:jc w:val="both"/>
        <w:rPr>
          <w:rFonts w:hAnsi="標楷體"/>
          <w:szCs w:val="24"/>
        </w:rPr>
      </w:pPr>
      <w:r w:rsidRPr="00480027">
        <w:rPr>
          <w:rFonts w:hAnsi="標楷體" w:hint="eastAsia"/>
          <w:szCs w:val="24"/>
        </w:rPr>
        <w:t>第85條：兒童及少年福利機構停辦、停業、歇業、解散、經撤銷或廢止許可時，對於其收容之兒童及少年應即予適當之安置；其未能予以適當安置者，設立許可主管機關應協助安置，該機構應予配合。</w:t>
      </w:r>
    </w:p>
    <w:p w14:paraId="61C398EF" w14:textId="0DAF8F00"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＊發布週期（指資料編製或產生之頻率，如月、季、年等）</w:t>
      </w:r>
      <w:r w:rsidR="00B87CC6">
        <w:rPr>
          <w:rFonts w:hAnsi="標楷體" w:hint="eastAsia"/>
          <w:szCs w:val="24"/>
        </w:rPr>
        <w:t>：</w:t>
      </w:r>
      <w:r w:rsidR="00480027">
        <w:rPr>
          <w:rFonts w:hAnsi="標楷體" w:hint="eastAsia"/>
          <w:szCs w:val="24"/>
        </w:rPr>
        <w:t>半</w:t>
      </w:r>
      <w:r w:rsidR="0048195A">
        <w:rPr>
          <w:rFonts w:hAnsi="標楷體" w:hint="eastAsia"/>
          <w:szCs w:val="24"/>
        </w:rPr>
        <w:t>年</w:t>
      </w:r>
      <w:r w:rsidR="009D6658">
        <w:rPr>
          <w:rFonts w:hAnsi="標楷體" w:hint="eastAsia"/>
          <w:szCs w:val="24"/>
        </w:rPr>
        <w:t>。</w:t>
      </w:r>
    </w:p>
    <w:p w14:paraId="27CEF15A" w14:textId="6218932D" w:rsidR="002243FC" w:rsidRPr="00B27F7B" w:rsidRDefault="002243FC" w:rsidP="001C686E">
      <w:pPr>
        <w:spacing w:line="240" w:lineRule="atLeast"/>
        <w:ind w:leftChars="100" w:left="480" w:hangingChars="100" w:hanging="240"/>
        <w:rPr>
          <w:rFonts w:hAnsi="標楷體"/>
          <w:szCs w:val="24"/>
        </w:rPr>
      </w:pPr>
      <w:r w:rsidRPr="00B27F7B">
        <w:rPr>
          <w:rFonts w:hAnsi="標楷體" w:hint="eastAsia"/>
          <w:szCs w:val="24"/>
        </w:rPr>
        <w:t>＊時效（指統計標準時間至資料發布時間之間隔時間）</w:t>
      </w:r>
      <w:r w:rsidR="0048195A">
        <w:rPr>
          <w:rFonts w:hAnsi="標楷體" w:hint="eastAsia"/>
          <w:szCs w:val="24"/>
        </w:rPr>
        <w:t>：</w:t>
      </w:r>
      <w:r w:rsidR="00480027">
        <w:rPr>
          <w:rFonts w:hAnsi="標楷體" w:hint="eastAsia"/>
          <w:szCs w:val="24"/>
        </w:rPr>
        <w:t>2</w:t>
      </w:r>
      <w:r w:rsidR="000F598F">
        <w:rPr>
          <w:rFonts w:hAnsi="標楷體" w:hint="eastAsia"/>
          <w:szCs w:val="24"/>
        </w:rPr>
        <w:t>5</w:t>
      </w:r>
      <w:r w:rsidR="00586444">
        <w:rPr>
          <w:rFonts w:hAnsi="標楷體" w:hint="eastAsia"/>
          <w:szCs w:val="24"/>
        </w:rPr>
        <w:t>日</w:t>
      </w:r>
      <w:r w:rsidR="009D6658">
        <w:rPr>
          <w:rFonts w:hAnsi="標楷體" w:hint="eastAsia"/>
          <w:szCs w:val="24"/>
        </w:rPr>
        <w:t>。</w:t>
      </w:r>
    </w:p>
    <w:p w14:paraId="490DCC15" w14:textId="77777777" w:rsidR="002243FC" w:rsidRPr="00B27F7B" w:rsidRDefault="002243FC" w:rsidP="00827E1A">
      <w:pPr>
        <w:spacing w:line="240" w:lineRule="atLeast"/>
        <w:ind w:leftChars="100" w:left="480" w:hangingChars="100" w:hanging="240"/>
        <w:rPr>
          <w:rFonts w:hAnsi="標楷體"/>
          <w:szCs w:val="24"/>
        </w:rPr>
      </w:pPr>
      <w:r w:rsidRPr="00B27F7B">
        <w:rPr>
          <w:rFonts w:hAnsi="標楷體" w:hint="eastAsia"/>
          <w:szCs w:val="24"/>
        </w:rPr>
        <w:t>＊資料變革：</w:t>
      </w:r>
    </w:p>
    <w:p w14:paraId="315B18EC" w14:textId="778503D5" w:rsidR="002243FC" w:rsidRPr="00B27F7B" w:rsidRDefault="002243FC" w:rsidP="00827E1A">
      <w:pPr>
        <w:spacing w:before="240" w:line="240" w:lineRule="atLeast"/>
        <w:ind w:left="480" w:hangingChars="200" w:hanging="480"/>
        <w:jc w:val="both"/>
        <w:rPr>
          <w:rFonts w:hAnsi="標楷體"/>
          <w:szCs w:val="24"/>
        </w:rPr>
      </w:pPr>
      <w:r w:rsidRPr="00B27F7B">
        <w:rPr>
          <w:rFonts w:hAnsi="標楷體" w:hint="eastAsia"/>
          <w:szCs w:val="24"/>
        </w:rPr>
        <w:t>四、公開資料發布訊息：</w:t>
      </w:r>
    </w:p>
    <w:p w14:paraId="0ED7E0AA" w14:textId="6EEE7B9B" w:rsidR="002243FC" w:rsidRPr="00B27F7B" w:rsidRDefault="002243FC" w:rsidP="000702B2">
      <w:pPr>
        <w:spacing w:line="240" w:lineRule="atLeast"/>
        <w:ind w:leftChars="100" w:left="480" w:hangingChars="100" w:hanging="240"/>
        <w:jc w:val="both"/>
        <w:rPr>
          <w:rFonts w:hAnsi="標楷體"/>
          <w:szCs w:val="24"/>
        </w:rPr>
      </w:pPr>
      <w:r w:rsidRPr="00B27F7B">
        <w:rPr>
          <w:rFonts w:hAnsi="標楷體" w:hint="eastAsia"/>
          <w:szCs w:val="24"/>
        </w:rPr>
        <w:t>＊預告發布日期（含預告方式及週期）：</w:t>
      </w:r>
      <w:r w:rsidR="00342B4B">
        <w:rPr>
          <w:rFonts w:hAnsi="標楷體" w:hint="eastAsia"/>
          <w:szCs w:val="24"/>
        </w:rPr>
        <w:t>每</w:t>
      </w:r>
      <w:r w:rsidR="00480027">
        <w:rPr>
          <w:rFonts w:hAnsi="標楷體" w:hint="eastAsia"/>
          <w:szCs w:val="24"/>
        </w:rPr>
        <w:t>半</w:t>
      </w:r>
      <w:r w:rsidR="0048195A">
        <w:rPr>
          <w:rFonts w:hAnsi="標楷體" w:hint="eastAsia"/>
          <w:szCs w:val="24"/>
        </w:rPr>
        <w:t>年</w:t>
      </w:r>
      <w:r w:rsidR="00480027">
        <w:rPr>
          <w:rFonts w:hAnsi="標楷體" w:hint="eastAsia"/>
          <w:szCs w:val="24"/>
        </w:rPr>
        <w:t>終了後2</w:t>
      </w:r>
      <w:r w:rsidR="000F598F">
        <w:rPr>
          <w:rFonts w:hAnsi="標楷體" w:hint="eastAsia"/>
          <w:szCs w:val="24"/>
        </w:rPr>
        <w:t>5</w:t>
      </w:r>
      <w:r w:rsidR="00342B4B">
        <w:rPr>
          <w:rFonts w:hAnsi="標楷體" w:hint="eastAsia"/>
          <w:szCs w:val="24"/>
        </w:rPr>
        <w:t>日</w:t>
      </w:r>
      <w:r w:rsidR="00DE63D2">
        <w:rPr>
          <w:rFonts w:hAnsi="標楷體" w:hint="eastAsia"/>
          <w:szCs w:val="24"/>
        </w:rPr>
        <w:t>內</w:t>
      </w:r>
      <w:r w:rsidRPr="00B27F7B">
        <w:rPr>
          <w:rFonts w:hAnsi="標楷體" w:hint="eastAsia"/>
          <w:szCs w:val="24"/>
        </w:rPr>
        <w:t>以公務統計報表發布，</w:t>
      </w:r>
      <w:r w:rsidRPr="00B27F7B">
        <w:rPr>
          <w:rFonts w:hAnsi="標楷體" w:hint="eastAsia"/>
          <w:szCs w:val="24"/>
          <w:lang w:eastAsia="zh-HK"/>
        </w:rPr>
        <w:t>公布日期上載於</w:t>
      </w:r>
      <w:r>
        <w:rPr>
          <w:rFonts w:hAnsi="標楷體" w:hint="eastAsia"/>
          <w:szCs w:val="24"/>
          <w:lang w:eastAsia="zh-HK"/>
        </w:rPr>
        <w:t>花蓮縣</w:t>
      </w:r>
      <w:r w:rsidRPr="00B27F7B">
        <w:rPr>
          <w:rFonts w:hAnsi="標楷體" w:hint="eastAsia"/>
          <w:szCs w:val="24"/>
          <w:lang w:eastAsia="zh-HK"/>
        </w:rPr>
        <w:t>政府統計資訊服務網之</w:t>
      </w:r>
      <w:r w:rsidRPr="00B27F7B">
        <w:rPr>
          <w:rFonts w:hAnsi="標楷體" w:hint="eastAsia"/>
          <w:szCs w:val="24"/>
        </w:rPr>
        <w:t>「</w:t>
      </w:r>
      <w:r w:rsidRPr="00B27F7B">
        <w:rPr>
          <w:rFonts w:hAnsi="標楷體" w:hint="eastAsia"/>
          <w:szCs w:val="24"/>
          <w:lang w:eastAsia="zh-HK"/>
        </w:rPr>
        <w:t>預告統計資料發布時間表」</w:t>
      </w:r>
      <w:r w:rsidRPr="00B27F7B">
        <w:rPr>
          <w:rFonts w:hAnsi="標楷體" w:hint="eastAsia"/>
          <w:szCs w:val="24"/>
        </w:rPr>
        <w:t>。</w:t>
      </w:r>
    </w:p>
    <w:p w14:paraId="0AD2A5D0" w14:textId="0BAD2899" w:rsidR="002243FC" w:rsidRPr="00B27F7B" w:rsidRDefault="002243FC" w:rsidP="00827E1A">
      <w:pPr>
        <w:snapToGrid w:val="0"/>
        <w:spacing w:line="240" w:lineRule="atLeast"/>
        <w:ind w:leftChars="100" w:left="480" w:hangingChars="100" w:hanging="240"/>
        <w:jc w:val="both"/>
        <w:rPr>
          <w:rFonts w:hAnsi="標楷體"/>
          <w:szCs w:val="24"/>
        </w:rPr>
      </w:pPr>
      <w:r w:rsidRPr="00B27F7B">
        <w:rPr>
          <w:rFonts w:hAnsi="標楷體" w:hint="eastAsia"/>
          <w:szCs w:val="24"/>
        </w:rPr>
        <w:t>＊同步發送單位（說明資料發布時同步發送之單位或可同步查得該資料之網址）：</w:t>
      </w:r>
      <w:r>
        <w:rPr>
          <w:rFonts w:hAnsi="標楷體" w:hint="eastAsia"/>
          <w:szCs w:val="24"/>
        </w:rPr>
        <w:t>花蓮縣</w:t>
      </w:r>
      <w:r w:rsidRPr="00B27F7B">
        <w:rPr>
          <w:rFonts w:hAnsi="標楷體" w:hint="eastAsia"/>
          <w:szCs w:val="24"/>
        </w:rPr>
        <w:t>政府主計處及</w:t>
      </w:r>
      <w:r>
        <w:rPr>
          <w:rFonts w:hAnsi="標楷體" w:hint="eastAsia"/>
          <w:szCs w:val="24"/>
        </w:rPr>
        <w:t>花蓮縣</w:t>
      </w:r>
      <w:r w:rsidRPr="00B27F7B">
        <w:rPr>
          <w:rFonts w:hAnsi="標楷體" w:hint="eastAsia"/>
          <w:szCs w:val="24"/>
        </w:rPr>
        <w:t>政府</w:t>
      </w:r>
      <w:r w:rsidR="000702B2">
        <w:rPr>
          <w:rFonts w:hAnsi="標楷體" w:hint="eastAsia"/>
          <w:szCs w:val="24"/>
        </w:rPr>
        <w:t>社會</w:t>
      </w:r>
      <w:r w:rsidRPr="00B27F7B">
        <w:rPr>
          <w:rFonts w:hAnsi="標楷體" w:hint="eastAsia"/>
          <w:szCs w:val="24"/>
        </w:rPr>
        <w:t>處。</w:t>
      </w:r>
    </w:p>
    <w:p w14:paraId="4E2FDE0D" w14:textId="77777777" w:rsidR="002243FC" w:rsidRPr="00B27F7B" w:rsidRDefault="002243FC" w:rsidP="00827E1A">
      <w:pPr>
        <w:snapToGrid w:val="0"/>
        <w:spacing w:before="240" w:line="240" w:lineRule="atLeast"/>
        <w:ind w:left="480" w:hangingChars="200" w:hanging="480"/>
        <w:rPr>
          <w:rFonts w:hAnsi="標楷體"/>
          <w:szCs w:val="24"/>
        </w:rPr>
      </w:pPr>
      <w:r w:rsidRPr="00B27F7B">
        <w:rPr>
          <w:rFonts w:hAnsi="標楷體" w:hint="eastAsia"/>
          <w:szCs w:val="24"/>
        </w:rPr>
        <w:t>五、資料品質：</w:t>
      </w:r>
    </w:p>
    <w:p w14:paraId="1D666920" w14:textId="440A835D" w:rsidR="002243FC" w:rsidRPr="000A475C" w:rsidRDefault="002243FC" w:rsidP="00401AFD">
      <w:pPr>
        <w:adjustRightInd w:val="0"/>
        <w:snapToGrid w:val="0"/>
        <w:spacing w:line="240" w:lineRule="atLeast"/>
        <w:ind w:leftChars="100" w:left="480" w:hangingChars="100" w:hanging="240"/>
        <w:jc w:val="both"/>
        <w:rPr>
          <w:rFonts w:hAnsi="標楷體"/>
          <w:szCs w:val="24"/>
        </w:rPr>
      </w:pPr>
      <w:r w:rsidRPr="00B27F7B">
        <w:rPr>
          <w:rFonts w:hAnsi="標楷體" w:hint="eastAsia"/>
          <w:szCs w:val="24"/>
        </w:rPr>
        <w:t>＊統計指標編製方法與資料來源說明</w:t>
      </w:r>
      <w:r w:rsidR="0048195A">
        <w:rPr>
          <w:rFonts w:hAnsi="標楷體" w:hint="eastAsia"/>
          <w:szCs w:val="24"/>
        </w:rPr>
        <w:t>：</w:t>
      </w:r>
      <w:r w:rsidR="00480027" w:rsidRPr="00480027">
        <w:rPr>
          <w:rFonts w:hAnsi="標楷體" w:hint="eastAsia"/>
          <w:szCs w:val="24"/>
        </w:rPr>
        <w:t>依據本府登記之違反兒童及少年福利與權益保障法執行情形資料彙編</w:t>
      </w:r>
      <w:r w:rsidR="00585B43" w:rsidRPr="00585B43">
        <w:rPr>
          <w:rFonts w:hAnsi="標楷體" w:hint="eastAsia"/>
          <w:szCs w:val="24"/>
        </w:rPr>
        <w:t>。</w:t>
      </w:r>
    </w:p>
    <w:p w14:paraId="7CDBA047" w14:textId="0C816010" w:rsidR="002243FC" w:rsidRPr="00B27F7B" w:rsidRDefault="002243FC" w:rsidP="00827E1A">
      <w:pPr>
        <w:tabs>
          <w:tab w:val="left" w:pos="8520"/>
        </w:tabs>
        <w:adjustRightInd w:val="0"/>
        <w:spacing w:line="240" w:lineRule="atLeast"/>
        <w:ind w:leftChars="100" w:left="480" w:hangingChars="100" w:hanging="240"/>
        <w:jc w:val="both"/>
        <w:rPr>
          <w:rFonts w:hAnsi="標楷體"/>
          <w:szCs w:val="24"/>
        </w:rPr>
      </w:pPr>
      <w:r w:rsidRPr="00B27F7B">
        <w:rPr>
          <w:rFonts w:hAnsi="標楷體" w:hint="eastAsia"/>
          <w:szCs w:val="24"/>
        </w:rPr>
        <w:t>＊統計資料交叉查核及確保資料合理性之機制（說明各項資料之相互關係及不同資料來源之相關統計差異性）：</w:t>
      </w:r>
      <w:r w:rsidR="007355F9" w:rsidRPr="007355F9">
        <w:rPr>
          <w:rFonts w:hAnsi="標楷體" w:hint="eastAsia"/>
          <w:szCs w:val="24"/>
        </w:rPr>
        <w:t>依上述之統計項目定義，採電腦作業且具查核機制，以確定資料之合理性</w:t>
      </w:r>
      <w:r w:rsidR="009F6661" w:rsidRPr="009F6661">
        <w:rPr>
          <w:rFonts w:hAnsi="標楷體" w:hint="eastAsia"/>
          <w:szCs w:val="24"/>
        </w:rPr>
        <w:t>。</w:t>
      </w:r>
    </w:p>
    <w:p w14:paraId="10A0B1B7" w14:textId="4A83C690" w:rsidR="002243FC" w:rsidRPr="00B27F7B" w:rsidRDefault="002243FC" w:rsidP="00827E1A">
      <w:pPr>
        <w:tabs>
          <w:tab w:val="left" w:pos="8520"/>
        </w:tabs>
        <w:spacing w:before="240" w:line="240" w:lineRule="atLeast"/>
        <w:ind w:left="480" w:hangingChars="200" w:hanging="480"/>
        <w:jc w:val="both"/>
        <w:rPr>
          <w:rFonts w:hAnsi="標楷體"/>
          <w:szCs w:val="24"/>
        </w:rPr>
      </w:pPr>
      <w:r w:rsidRPr="00B27F7B">
        <w:rPr>
          <w:rFonts w:hAnsi="標楷體" w:hint="eastAsia"/>
          <w:szCs w:val="24"/>
        </w:rPr>
        <w:t>六、須注意及預定改變之事項（說明預定修正之資料、定義、統計方法等及其修正原因）：無</w:t>
      </w:r>
      <w:r w:rsidR="009D6658">
        <w:rPr>
          <w:rFonts w:hAnsi="標楷體" w:hint="eastAsia"/>
          <w:szCs w:val="24"/>
        </w:rPr>
        <w:t>。</w:t>
      </w:r>
    </w:p>
    <w:p w14:paraId="0EC474D3" w14:textId="53CFC60C" w:rsidR="001F59C1" w:rsidRPr="00E70044" w:rsidRDefault="002243FC" w:rsidP="00E70044">
      <w:pPr>
        <w:tabs>
          <w:tab w:val="left" w:pos="8520"/>
        </w:tabs>
        <w:spacing w:before="240" w:line="240" w:lineRule="atLeast"/>
        <w:ind w:left="480" w:hangingChars="200" w:hanging="480"/>
        <w:jc w:val="both"/>
        <w:rPr>
          <w:rFonts w:hAnsi="標楷體"/>
          <w:szCs w:val="24"/>
        </w:rPr>
      </w:pPr>
      <w:r w:rsidRPr="00B27F7B">
        <w:rPr>
          <w:rFonts w:hAnsi="標楷體" w:hint="eastAsia"/>
          <w:szCs w:val="24"/>
        </w:rPr>
        <w:t>七、其他事項：無</w:t>
      </w:r>
      <w:r w:rsidR="009D6658">
        <w:rPr>
          <w:rFonts w:hAnsi="標楷體" w:hint="eastAsia"/>
          <w:szCs w:val="24"/>
        </w:rPr>
        <w:t>。</w:t>
      </w:r>
    </w:p>
    <w:sectPr w:rsidR="001F59C1" w:rsidRPr="00E70044" w:rsidSect="002243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8844" w14:textId="77777777" w:rsidR="0048651C" w:rsidRDefault="0048651C" w:rsidP="00DC4425">
      <w:r>
        <w:separator/>
      </w:r>
    </w:p>
  </w:endnote>
  <w:endnote w:type="continuationSeparator" w:id="0">
    <w:p w14:paraId="13E6334B" w14:textId="77777777" w:rsidR="0048651C" w:rsidRDefault="0048651C" w:rsidP="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C9AE8" w14:textId="77777777" w:rsidR="0048651C" w:rsidRDefault="0048651C" w:rsidP="00DC4425">
      <w:r>
        <w:separator/>
      </w:r>
    </w:p>
  </w:footnote>
  <w:footnote w:type="continuationSeparator" w:id="0">
    <w:p w14:paraId="73F5ED36" w14:textId="77777777" w:rsidR="0048651C" w:rsidRDefault="0048651C" w:rsidP="00DC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638"/>
    <w:multiLevelType w:val="hybridMultilevel"/>
    <w:tmpl w:val="58D6A49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71717E"/>
    <w:multiLevelType w:val="hybridMultilevel"/>
    <w:tmpl w:val="A2E4AF0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FA09DB"/>
    <w:multiLevelType w:val="hybridMultilevel"/>
    <w:tmpl w:val="7BA4B4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2C3BA6"/>
    <w:multiLevelType w:val="hybridMultilevel"/>
    <w:tmpl w:val="277C050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12B575E"/>
    <w:multiLevelType w:val="hybridMultilevel"/>
    <w:tmpl w:val="116A4F2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4857772"/>
    <w:multiLevelType w:val="hybridMultilevel"/>
    <w:tmpl w:val="0D4EE0D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E2A62C3"/>
    <w:multiLevelType w:val="hybridMultilevel"/>
    <w:tmpl w:val="36DCF5A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7437E97"/>
    <w:multiLevelType w:val="hybridMultilevel"/>
    <w:tmpl w:val="504843B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91724C0"/>
    <w:multiLevelType w:val="hybridMultilevel"/>
    <w:tmpl w:val="06D21BE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9F43F9D"/>
    <w:multiLevelType w:val="hybridMultilevel"/>
    <w:tmpl w:val="E2ECFF86"/>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D9B53C0"/>
    <w:multiLevelType w:val="hybridMultilevel"/>
    <w:tmpl w:val="01F68E40"/>
    <w:lvl w:ilvl="0" w:tplc="4352F3C6">
      <w:start w:val="1"/>
      <w:numFmt w:val="taiwaneseCountingThousand"/>
      <w:lvlText w:val="(%1)"/>
      <w:lvlJc w:val="left"/>
      <w:pPr>
        <w:ind w:left="1615" w:hanging="480"/>
      </w:pPr>
      <w:rPr>
        <w:rFonts w:hint="eastAsia"/>
      </w:rPr>
    </w:lvl>
    <w:lvl w:ilvl="1" w:tplc="0409000F">
      <w:start w:val="1"/>
      <w:numFmt w:val="decimal"/>
      <w:lvlText w:val="%2."/>
      <w:lvlJc w:val="left"/>
      <w:pPr>
        <w:ind w:left="3032"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FE054C1"/>
    <w:multiLevelType w:val="hybridMultilevel"/>
    <w:tmpl w:val="6118750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67A1759"/>
    <w:multiLevelType w:val="hybridMultilevel"/>
    <w:tmpl w:val="E464802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38055D0C"/>
    <w:multiLevelType w:val="hybridMultilevel"/>
    <w:tmpl w:val="C246AA0C"/>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3D47007D"/>
    <w:multiLevelType w:val="hybridMultilevel"/>
    <w:tmpl w:val="E05CDE32"/>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E6621E2"/>
    <w:multiLevelType w:val="hybridMultilevel"/>
    <w:tmpl w:val="21EA5AB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E7A03FB"/>
    <w:multiLevelType w:val="hybridMultilevel"/>
    <w:tmpl w:val="DE666D9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53371FD"/>
    <w:multiLevelType w:val="hybridMultilevel"/>
    <w:tmpl w:val="69DED77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480821C6"/>
    <w:multiLevelType w:val="hybridMultilevel"/>
    <w:tmpl w:val="29C013BA"/>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A706745"/>
    <w:multiLevelType w:val="hybridMultilevel"/>
    <w:tmpl w:val="32101A2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DAB67F6"/>
    <w:multiLevelType w:val="hybridMultilevel"/>
    <w:tmpl w:val="6CAA2C3A"/>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616528B"/>
    <w:multiLevelType w:val="hybridMultilevel"/>
    <w:tmpl w:val="CE0E759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5AA5358F"/>
    <w:multiLevelType w:val="hybridMultilevel"/>
    <w:tmpl w:val="3CAE609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5FAC0B53"/>
    <w:multiLevelType w:val="hybridMultilevel"/>
    <w:tmpl w:val="30D01220"/>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61473B10"/>
    <w:multiLevelType w:val="hybridMultilevel"/>
    <w:tmpl w:val="46129DC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2837EA0"/>
    <w:multiLevelType w:val="hybridMultilevel"/>
    <w:tmpl w:val="1BC007BE"/>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7" w15:restartNumberingAfterBreak="0">
    <w:nsid w:val="691E0030"/>
    <w:multiLevelType w:val="hybridMultilevel"/>
    <w:tmpl w:val="C428D5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6969369E"/>
    <w:multiLevelType w:val="hybridMultilevel"/>
    <w:tmpl w:val="47F02D20"/>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A6A4038"/>
    <w:multiLevelType w:val="hybridMultilevel"/>
    <w:tmpl w:val="AA4EFD76"/>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6C73563F"/>
    <w:multiLevelType w:val="hybridMultilevel"/>
    <w:tmpl w:val="EFECCD94"/>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F2A7FCB"/>
    <w:multiLevelType w:val="hybridMultilevel"/>
    <w:tmpl w:val="8AC8A9C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715B0D8B"/>
    <w:multiLevelType w:val="hybridMultilevel"/>
    <w:tmpl w:val="2ADA531C"/>
    <w:lvl w:ilvl="0" w:tplc="3E664A4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DA2E74"/>
    <w:multiLevelType w:val="hybridMultilevel"/>
    <w:tmpl w:val="8CBC6FF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78535413"/>
    <w:multiLevelType w:val="hybridMultilevel"/>
    <w:tmpl w:val="461039A8"/>
    <w:lvl w:ilvl="0" w:tplc="4352F3C6">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ED75BC4"/>
    <w:multiLevelType w:val="hybridMultilevel"/>
    <w:tmpl w:val="A0686142"/>
    <w:lvl w:ilvl="0" w:tplc="4352F3C6">
      <w:start w:val="1"/>
      <w:numFmt w:val="taiwaneseCountingThousand"/>
      <w:lvlText w:val="(%1)"/>
      <w:lvlJc w:val="left"/>
      <w:pPr>
        <w:ind w:left="720" w:hanging="480"/>
      </w:pPr>
      <w:rPr>
        <w:rFonts w:hint="eastAsia"/>
      </w:rPr>
    </w:lvl>
    <w:lvl w:ilvl="1" w:tplc="0409000F">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6"/>
  </w:num>
  <w:num w:numId="2">
    <w:abstractNumId w:val="22"/>
  </w:num>
  <w:num w:numId="3">
    <w:abstractNumId w:val="5"/>
  </w:num>
  <w:num w:numId="4">
    <w:abstractNumId w:val="32"/>
  </w:num>
  <w:num w:numId="5">
    <w:abstractNumId w:val="30"/>
  </w:num>
  <w:num w:numId="6">
    <w:abstractNumId w:val="28"/>
  </w:num>
  <w:num w:numId="7">
    <w:abstractNumId w:val="18"/>
  </w:num>
  <w:num w:numId="8">
    <w:abstractNumId w:val="9"/>
  </w:num>
  <w:num w:numId="9">
    <w:abstractNumId w:val="0"/>
  </w:num>
  <w:num w:numId="10">
    <w:abstractNumId w:val="25"/>
  </w:num>
  <w:num w:numId="11">
    <w:abstractNumId w:val="33"/>
  </w:num>
  <w:num w:numId="12">
    <w:abstractNumId w:val="34"/>
  </w:num>
  <w:num w:numId="13">
    <w:abstractNumId w:val="31"/>
  </w:num>
  <w:num w:numId="14">
    <w:abstractNumId w:val="21"/>
  </w:num>
  <w:num w:numId="15">
    <w:abstractNumId w:val="6"/>
  </w:num>
  <w:num w:numId="16">
    <w:abstractNumId w:val="1"/>
  </w:num>
  <w:num w:numId="17">
    <w:abstractNumId w:val="27"/>
  </w:num>
  <w:num w:numId="18">
    <w:abstractNumId w:val="7"/>
  </w:num>
  <w:num w:numId="19">
    <w:abstractNumId w:val="23"/>
  </w:num>
  <w:num w:numId="20">
    <w:abstractNumId w:val="11"/>
  </w:num>
  <w:num w:numId="21">
    <w:abstractNumId w:val="2"/>
  </w:num>
  <w:num w:numId="22">
    <w:abstractNumId w:val="35"/>
  </w:num>
  <w:num w:numId="23">
    <w:abstractNumId w:val="15"/>
  </w:num>
  <w:num w:numId="24">
    <w:abstractNumId w:val="16"/>
  </w:num>
  <w:num w:numId="25">
    <w:abstractNumId w:val="14"/>
  </w:num>
  <w:num w:numId="26">
    <w:abstractNumId w:val="17"/>
  </w:num>
  <w:num w:numId="27">
    <w:abstractNumId w:val="3"/>
  </w:num>
  <w:num w:numId="28">
    <w:abstractNumId w:val="20"/>
  </w:num>
  <w:num w:numId="29">
    <w:abstractNumId w:val="4"/>
  </w:num>
  <w:num w:numId="30">
    <w:abstractNumId w:val="12"/>
  </w:num>
  <w:num w:numId="31">
    <w:abstractNumId w:val="24"/>
  </w:num>
  <w:num w:numId="32">
    <w:abstractNumId w:val="10"/>
  </w:num>
  <w:num w:numId="33">
    <w:abstractNumId w:val="13"/>
  </w:num>
  <w:num w:numId="34">
    <w:abstractNumId w:val="8"/>
  </w:num>
  <w:num w:numId="35">
    <w:abstractNumId w:val="2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FC"/>
    <w:rsid w:val="00002B14"/>
    <w:rsid w:val="00012978"/>
    <w:rsid w:val="00022FF3"/>
    <w:rsid w:val="0002789E"/>
    <w:rsid w:val="00035F25"/>
    <w:rsid w:val="00036DC5"/>
    <w:rsid w:val="00056249"/>
    <w:rsid w:val="00060616"/>
    <w:rsid w:val="0006193B"/>
    <w:rsid w:val="00062C2A"/>
    <w:rsid w:val="000702B2"/>
    <w:rsid w:val="00075EA1"/>
    <w:rsid w:val="00076210"/>
    <w:rsid w:val="00092019"/>
    <w:rsid w:val="00093BDE"/>
    <w:rsid w:val="00094C8D"/>
    <w:rsid w:val="000A0816"/>
    <w:rsid w:val="000A475C"/>
    <w:rsid w:val="000A5889"/>
    <w:rsid w:val="000B100D"/>
    <w:rsid w:val="000B7BB0"/>
    <w:rsid w:val="000C34B0"/>
    <w:rsid w:val="000D6C3E"/>
    <w:rsid w:val="000E100D"/>
    <w:rsid w:val="000E1682"/>
    <w:rsid w:val="000E620C"/>
    <w:rsid w:val="000E791B"/>
    <w:rsid w:val="000F04D3"/>
    <w:rsid w:val="000F21B3"/>
    <w:rsid w:val="000F39DE"/>
    <w:rsid w:val="000F598F"/>
    <w:rsid w:val="00101EF7"/>
    <w:rsid w:val="001241F4"/>
    <w:rsid w:val="00127753"/>
    <w:rsid w:val="00130084"/>
    <w:rsid w:val="001363EF"/>
    <w:rsid w:val="001400EE"/>
    <w:rsid w:val="001407C4"/>
    <w:rsid w:val="00152BD7"/>
    <w:rsid w:val="00153509"/>
    <w:rsid w:val="00184340"/>
    <w:rsid w:val="00186A52"/>
    <w:rsid w:val="00191B12"/>
    <w:rsid w:val="00194AC8"/>
    <w:rsid w:val="0019722F"/>
    <w:rsid w:val="001A3E26"/>
    <w:rsid w:val="001A6E8C"/>
    <w:rsid w:val="001A7338"/>
    <w:rsid w:val="001B4D30"/>
    <w:rsid w:val="001B58EE"/>
    <w:rsid w:val="001B6478"/>
    <w:rsid w:val="001C0DEE"/>
    <w:rsid w:val="001C15CB"/>
    <w:rsid w:val="001C3A00"/>
    <w:rsid w:val="001C4C91"/>
    <w:rsid w:val="001C5519"/>
    <w:rsid w:val="001C686E"/>
    <w:rsid w:val="001C703C"/>
    <w:rsid w:val="001D03F3"/>
    <w:rsid w:val="001D1AA7"/>
    <w:rsid w:val="001D33C1"/>
    <w:rsid w:val="001E54FD"/>
    <w:rsid w:val="001F59C1"/>
    <w:rsid w:val="001F66D5"/>
    <w:rsid w:val="002018B5"/>
    <w:rsid w:val="00202279"/>
    <w:rsid w:val="002047E8"/>
    <w:rsid w:val="00204B5A"/>
    <w:rsid w:val="00205190"/>
    <w:rsid w:val="0021131B"/>
    <w:rsid w:val="002120B4"/>
    <w:rsid w:val="002243FC"/>
    <w:rsid w:val="00227426"/>
    <w:rsid w:val="002628F0"/>
    <w:rsid w:val="00271B52"/>
    <w:rsid w:val="0027379F"/>
    <w:rsid w:val="00273F4B"/>
    <w:rsid w:val="00274AFD"/>
    <w:rsid w:val="002756F5"/>
    <w:rsid w:val="00286BFC"/>
    <w:rsid w:val="002A5779"/>
    <w:rsid w:val="002C4822"/>
    <w:rsid w:val="002D1EDD"/>
    <w:rsid w:val="002D244A"/>
    <w:rsid w:val="002E09B2"/>
    <w:rsid w:val="002E5256"/>
    <w:rsid w:val="002F2C68"/>
    <w:rsid w:val="002F4196"/>
    <w:rsid w:val="002F619E"/>
    <w:rsid w:val="002F71B0"/>
    <w:rsid w:val="0030564E"/>
    <w:rsid w:val="003063ED"/>
    <w:rsid w:val="003129BA"/>
    <w:rsid w:val="00313350"/>
    <w:rsid w:val="0031365E"/>
    <w:rsid w:val="003148D5"/>
    <w:rsid w:val="00315B28"/>
    <w:rsid w:val="00316A64"/>
    <w:rsid w:val="00317EC9"/>
    <w:rsid w:val="003260CC"/>
    <w:rsid w:val="00342B4B"/>
    <w:rsid w:val="003552BD"/>
    <w:rsid w:val="00355608"/>
    <w:rsid w:val="00363DD7"/>
    <w:rsid w:val="00370A0E"/>
    <w:rsid w:val="003725A5"/>
    <w:rsid w:val="00375512"/>
    <w:rsid w:val="003767A9"/>
    <w:rsid w:val="00383528"/>
    <w:rsid w:val="003864A8"/>
    <w:rsid w:val="00390913"/>
    <w:rsid w:val="003A5F96"/>
    <w:rsid w:val="003A7058"/>
    <w:rsid w:val="003A7F25"/>
    <w:rsid w:val="003B506F"/>
    <w:rsid w:val="003C4817"/>
    <w:rsid w:val="003C5065"/>
    <w:rsid w:val="003E6359"/>
    <w:rsid w:val="003F48CD"/>
    <w:rsid w:val="003F7363"/>
    <w:rsid w:val="00401AFD"/>
    <w:rsid w:val="00405DFA"/>
    <w:rsid w:val="00436272"/>
    <w:rsid w:val="00443684"/>
    <w:rsid w:val="00447979"/>
    <w:rsid w:val="00450D05"/>
    <w:rsid w:val="004608B4"/>
    <w:rsid w:val="00464978"/>
    <w:rsid w:val="00465CD3"/>
    <w:rsid w:val="00467C66"/>
    <w:rsid w:val="004713A3"/>
    <w:rsid w:val="00472787"/>
    <w:rsid w:val="00474BD2"/>
    <w:rsid w:val="00477D94"/>
    <w:rsid w:val="00480027"/>
    <w:rsid w:val="0048195A"/>
    <w:rsid w:val="0048651C"/>
    <w:rsid w:val="004903EA"/>
    <w:rsid w:val="00496BB1"/>
    <w:rsid w:val="00497F2D"/>
    <w:rsid w:val="004A6D08"/>
    <w:rsid w:val="004A7375"/>
    <w:rsid w:val="004A79BF"/>
    <w:rsid w:val="004B1D79"/>
    <w:rsid w:val="004C0BEA"/>
    <w:rsid w:val="004C1BC6"/>
    <w:rsid w:val="004D0923"/>
    <w:rsid w:val="004F21E7"/>
    <w:rsid w:val="004F4F08"/>
    <w:rsid w:val="004F743F"/>
    <w:rsid w:val="004F7D97"/>
    <w:rsid w:val="00501C84"/>
    <w:rsid w:val="00513115"/>
    <w:rsid w:val="00514CC6"/>
    <w:rsid w:val="00517BC3"/>
    <w:rsid w:val="0053167C"/>
    <w:rsid w:val="005460E3"/>
    <w:rsid w:val="00550D5D"/>
    <w:rsid w:val="00554F6D"/>
    <w:rsid w:val="00556D7C"/>
    <w:rsid w:val="00557A7B"/>
    <w:rsid w:val="00571F85"/>
    <w:rsid w:val="00580A58"/>
    <w:rsid w:val="00585026"/>
    <w:rsid w:val="00585B43"/>
    <w:rsid w:val="00586444"/>
    <w:rsid w:val="00586CDE"/>
    <w:rsid w:val="00587B2B"/>
    <w:rsid w:val="00591DBB"/>
    <w:rsid w:val="005931D6"/>
    <w:rsid w:val="00594141"/>
    <w:rsid w:val="00594597"/>
    <w:rsid w:val="005B37B6"/>
    <w:rsid w:val="005B5F92"/>
    <w:rsid w:val="005B7853"/>
    <w:rsid w:val="005C28E9"/>
    <w:rsid w:val="005D2CE7"/>
    <w:rsid w:val="005D3B8A"/>
    <w:rsid w:val="005D6E17"/>
    <w:rsid w:val="005E7A81"/>
    <w:rsid w:val="00600820"/>
    <w:rsid w:val="006231D5"/>
    <w:rsid w:val="0062337D"/>
    <w:rsid w:val="0063076B"/>
    <w:rsid w:val="00635A82"/>
    <w:rsid w:val="00635CF4"/>
    <w:rsid w:val="006430B0"/>
    <w:rsid w:val="006434B1"/>
    <w:rsid w:val="00644555"/>
    <w:rsid w:val="00647E03"/>
    <w:rsid w:val="00651191"/>
    <w:rsid w:val="00654DF1"/>
    <w:rsid w:val="00655C82"/>
    <w:rsid w:val="006624D5"/>
    <w:rsid w:val="00670F39"/>
    <w:rsid w:val="00673DD8"/>
    <w:rsid w:val="0067582B"/>
    <w:rsid w:val="00680261"/>
    <w:rsid w:val="0068563C"/>
    <w:rsid w:val="00686A5D"/>
    <w:rsid w:val="006908FE"/>
    <w:rsid w:val="00697821"/>
    <w:rsid w:val="00697B32"/>
    <w:rsid w:val="006A2C8E"/>
    <w:rsid w:val="006A77FA"/>
    <w:rsid w:val="006B07B2"/>
    <w:rsid w:val="006B1D4B"/>
    <w:rsid w:val="006B288E"/>
    <w:rsid w:val="006B5F50"/>
    <w:rsid w:val="006B6AA7"/>
    <w:rsid w:val="006C33E6"/>
    <w:rsid w:val="006D0379"/>
    <w:rsid w:val="006D0514"/>
    <w:rsid w:val="006E0AB4"/>
    <w:rsid w:val="006E715C"/>
    <w:rsid w:val="006F20FD"/>
    <w:rsid w:val="006F4F31"/>
    <w:rsid w:val="006F7952"/>
    <w:rsid w:val="007038B7"/>
    <w:rsid w:val="007110B1"/>
    <w:rsid w:val="00722424"/>
    <w:rsid w:val="007269A1"/>
    <w:rsid w:val="00733365"/>
    <w:rsid w:val="00733782"/>
    <w:rsid w:val="007355F9"/>
    <w:rsid w:val="00735B9F"/>
    <w:rsid w:val="007654FD"/>
    <w:rsid w:val="00777CB0"/>
    <w:rsid w:val="007918AF"/>
    <w:rsid w:val="0079191B"/>
    <w:rsid w:val="00791996"/>
    <w:rsid w:val="007A1A5F"/>
    <w:rsid w:val="007B00BF"/>
    <w:rsid w:val="007B113F"/>
    <w:rsid w:val="007B229B"/>
    <w:rsid w:val="007B38B8"/>
    <w:rsid w:val="007B5BF7"/>
    <w:rsid w:val="007B6EC6"/>
    <w:rsid w:val="007C21AF"/>
    <w:rsid w:val="007C5324"/>
    <w:rsid w:val="007C5382"/>
    <w:rsid w:val="007C73D9"/>
    <w:rsid w:val="007D19D9"/>
    <w:rsid w:val="007D23C5"/>
    <w:rsid w:val="007D24B1"/>
    <w:rsid w:val="007E39E3"/>
    <w:rsid w:val="007F5B67"/>
    <w:rsid w:val="007F6775"/>
    <w:rsid w:val="00804AA3"/>
    <w:rsid w:val="008163DA"/>
    <w:rsid w:val="00822870"/>
    <w:rsid w:val="00826014"/>
    <w:rsid w:val="00827E1A"/>
    <w:rsid w:val="0084022C"/>
    <w:rsid w:val="00841558"/>
    <w:rsid w:val="00842A03"/>
    <w:rsid w:val="00850274"/>
    <w:rsid w:val="008551DA"/>
    <w:rsid w:val="0085533E"/>
    <w:rsid w:val="00855718"/>
    <w:rsid w:val="00855971"/>
    <w:rsid w:val="00860C96"/>
    <w:rsid w:val="00862530"/>
    <w:rsid w:val="00862E1D"/>
    <w:rsid w:val="00870ED6"/>
    <w:rsid w:val="008A1856"/>
    <w:rsid w:val="008A4295"/>
    <w:rsid w:val="008A4931"/>
    <w:rsid w:val="008B1C81"/>
    <w:rsid w:val="008B47DC"/>
    <w:rsid w:val="008B54EB"/>
    <w:rsid w:val="008C596C"/>
    <w:rsid w:val="008D3508"/>
    <w:rsid w:val="008E260D"/>
    <w:rsid w:val="008F15D8"/>
    <w:rsid w:val="008F2D98"/>
    <w:rsid w:val="008F4142"/>
    <w:rsid w:val="008F48F1"/>
    <w:rsid w:val="00903E36"/>
    <w:rsid w:val="00904EBA"/>
    <w:rsid w:val="009073E6"/>
    <w:rsid w:val="00913706"/>
    <w:rsid w:val="00915EEB"/>
    <w:rsid w:val="00934BD4"/>
    <w:rsid w:val="00936764"/>
    <w:rsid w:val="00947327"/>
    <w:rsid w:val="00947751"/>
    <w:rsid w:val="00960934"/>
    <w:rsid w:val="00960F00"/>
    <w:rsid w:val="00964680"/>
    <w:rsid w:val="00964903"/>
    <w:rsid w:val="00970571"/>
    <w:rsid w:val="009706DD"/>
    <w:rsid w:val="0097237F"/>
    <w:rsid w:val="00976B7A"/>
    <w:rsid w:val="00977EDB"/>
    <w:rsid w:val="009A2C44"/>
    <w:rsid w:val="009B0E73"/>
    <w:rsid w:val="009C72E8"/>
    <w:rsid w:val="009C791E"/>
    <w:rsid w:val="009D6658"/>
    <w:rsid w:val="009E605D"/>
    <w:rsid w:val="009E6FE1"/>
    <w:rsid w:val="009F1A35"/>
    <w:rsid w:val="009F6661"/>
    <w:rsid w:val="00A05694"/>
    <w:rsid w:val="00A05C21"/>
    <w:rsid w:val="00A102F1"/>
    <w:rsid w:val="00A122D0"/>
    <w:rsid w:val="00A31C9F"/>
    <w:rsid w:val="00A3580B"/>
    <w:rsid w:val="00A3721D"/>
    <w:rsid w:val="00A372D4"/>
    <w:rsid w:val="00A462D5"/>
    <w:rsid w:val="00A508DC"/>
    <w:rsid w:val="00A57E98"/>
    <w:rsid w:val="00A609CA"/>
    <w:rsid w:val="00A70139"/>
    <w:rsid w:val="00A70BF7"/>
    <w:rsid w:val="00A71E66"/>
    <w:rsid w:val="00A77432"/>
    <w:rsid w:val="00A8232A"/>
    <w:rsid w:val="00A82593"/>
    <w:rsid w:val="00A908DB"/>
    <w:rsid w:val="00A94C33"/>
    <w:rsid w:val="00A94E1F"/>
    <w:rsid w:val="00A979BE"/>
    <w:rsid w:val="00A97DF5"/>
    <w:rsid w:val="00AA0DF8"/>
    <w:rsid w:val="00AC1ED9"/>
    <w:rsid w:val="00AC3D53"/>
    <w:rsid w:val="00AC65B4"/>
    <w:rsid w:val="00AD379F"/>
    <w:rsid w:val="00AF4EFC"/>
    <w:rsid w:val="00AF77C1"/>
    <w:rsid w:val="00B04291"/>
    <w:rsid w:val="00B13926"/>
    <w:rsid w:val="00B14059"/>
    <w:rsid w:val="00B158A5"/>
    <w:rsid w:val="00B16CE5"/>
    <w:rsid w:val="00B21B8F"/>
    <w:rsid w:val="00B247D8"/>
    <w:rsid w:val="00B31C6C"/>
    <w:rsid w:val="00B33008"/>
    <w:rsid w:val="00B410A8"/>
    <w:rsid w:val="00B426BD"/>
    <w:rsid w:val="00B43B57"/>
    <w:rsid w:val="00B46201"/>
    <w:rsid w:val="00B47922"/>
    <w:rsid w:val="00B47FA4"/>
    <w:rsid w:val="00B51CC6"/>
    <w:rsid w:val="00B54172"/>
    <w:rsid w:val="00B558E8"/>
    <w:rsid w:val="00B60353"/>
    <w:rsid w:val="00B64B67"/>
    <w:rsid w:val="00B702A1"/>
    <w:rsid w:val="00B70AC7"/>
    <w:rsid w:val="00B75978"/>
    <w:rsid w:val="00B849C8"/>
    <w:rsid w:val="00B87CC6"/>
    <w:rsid w:val="00B90ECC"/>
    <w:rsid w:val="00B934CD"/>
    <w:rsid w:val="00BA1DD8"/>
    <w:rsid w:val="00BA5BC6"/>
    <w:rsid w:val="00BA5C8E"/>
    <w:rsid w:val="00BA5F95"/>
    <w:rsid w:val="00BA68E1"/>
    <w:rsid w:val="00BA7FE1"/>
    <w:rsid w:val="00BB1592"/>
    <w:rsid w:val="00BB24A4"/>
    <w:rsid w:val="00BB3105"/>
    <w:rsid w:val="00BB78B6"/>
    <w:rsid w:val="00BB7CF9"/>
    <w:rsid w:val="00BD7A6C"/>
    <w:rsid w:val="00BE0A55"/>
    <w:rsid w:val="00BF1A61"/>
    <w:rsid w:val="00C0639D"/>
    <w:rsid w:val="00C07655"/>
    <w:rsid w:val="00C238AC"/>
    <w:rsid w:val="00C317A8"/>
    <w:rsid w:val="00C324FE"/>
    <w:rsid w:val="00C4115E"/>
    <w:rsid w:val="00C414CB"/>
    <w:rsid w:val="00C44AA7"/>
    <w:rsid w:val="00C4586B"/>
    <w:rsid w:val="00C46754"/>
    <w:rsid w:val="00C53E0F"/>
    <w:rsid w:val="00C54C76"/>
    <w:rsid w:val="00C54EBE"/>
    <w:rsid w:val="00C734BF"/>
    <w:rsid w:val="00C9139F"/>
    <w:rsid w:val="00C9451B"/>
    <w:rsid w:val="00C975BA"/>
    <w:rsid w:val="00C97EBA"/>
    <w:rsid w:val="00CA32B9"/>
    <w:rsid w:val="00CA3E48"/>
    <w:rsid w:val="00CA4A06"/>
    <w:rsid w:val="00CA4D52"/>
    <w:rsid w:val="00CA5642"/>
    <w:rsid w:val="00CC2550"/>
    <w:rsid w:val="00CC5AA4"/>
    <w:rsid w:val="00CC5B78"/>
    <w:rsid w:val="00CE1181"/>
    <w:rsid w:val="00CE3261"/>
    <w:rsid w:val="00CE33D6"/>
    <w:rsid w:val="00CE3AEE"/>
    <w:rsid w:val="00CE5A7E"/>
    <w:rsid w:val="00D015DC"/>
    <w:rsid w:val="00D03331"/>
    <w:rsid w:val="00D06410"/>
    <w:rsid w:val="00D065FE"/>
    <w:rsid w:val="00D10D0F"/>
    <w:rsid w:val="00D24E78"/>
    <w:rsid w:val="00D25933"/>
    <w:rsid w:val="00D318DA"/>
    <w:rsid w:val="00D354B3"/>
    <w:rsid w:val="00D43879"/>
    <w:rsid w:val="00D51FAC"/>
    <w:rsid w:val="00D5592A"/>
    <w:rsid w:val="00D72EA4"/>
    <w:rsid w:val="00D82230"/>
    <w:rsid w:val="00D84B90"/>
    <w:rsid w:val="00D84CEE"/>
    <w:rsid w:val="00D85CBD"/>
    <w:rsid w:val="00D86967"/>
    <w:rsid w:val="00D92D5F"/>
    <w:rsid w:val="00D968FE"/>
    <w:rsid w:val="00DA38BC"/>
    <w:rsid w:val="00DC12D5"/>
    <w:rsid w:val="00DC4425"/>
    <w:rsid w:val="00DE63D2"/>
    <w:rsid w:val="00DF42E5"/>
    <w:rsid w:val="00DF4829"/>
    <w:rsid w:val="00E0360A"/>
    <w:rsid w:val="00E12849"/>
    <w:rsid w:val="00E14A3F"/>
    <w:rsid w:val="00E20DBC"/>
    <w:rsid w:val="00E2343D"/>
    <w:rsid w:val="00E246D8"/>
    <w:rsid w:val="00E3338A"/>
    <w:rsid w:val="00E34123"/>
    <w:rsid w:val="00E34891"/>
    <w:rsid w:val="00E5302C"/>
    <w:rsid w:val="00E55DAF"/>
    <w:rsid w:val="00E6571A"/>
    <w:rsid w:val="00E66D3F"/>
    <w:rsid w:val="00E70044"/>
    <w:rsid w:val="00E72CBA"/>
    <w:rsid w:val="00E76F58"/>
    <w:rsid w:val="00E829C7"/>
    <w:rsid w:val="00E86AF7"/>
    <w:rsid w:val="00E96807"/>
    <w:rsid w:val="00E97F20"/>
    <w:rsid w:val="00EA253F"/>
    <w:rsid w:val="00EA7267"/>
    <w:rsid w:val="00EB7F8A"/>
    <w:rsid w:val="00EC2E45"/>
    <w:rsid w:val="00EC6274"/>
    <w:rsid w:val="00ED1A64"/>
    <w:rsid w:val="00EE1A31"/>
    <w:rsid w:val="00EE4AA4"/>
    <w:rsid w:val="00EE7EB6"/>
    <w:rsid w:val="00EF04F1"/>
    <w:rsid w:val="00EF1F6F"/>
    <w:rsid w:val="00EF585C"/>
    <w:rsid w:val="00EF6811"/>
    <w:rsid w:val="00F01583"/>
    <w:rsid w:val="00F016A7"/>
    <w:rsid w:val="00F034A4"/>
    <w:rsid w:val="00F04AF9"/>
    <w:rsid w:val="00F05A69"/>
    <w:rsid w:val="00F13111"/>
    <w:rsid w:val="00F155A3"/>
    <w:rsid w:val="00F206C6"/>
    <w:rsid w:val="00F216B4"/>
    <w:rsid w:val="00F314B8"/>
    <w:rsid w:val="00F34F45"/>
    <w:rsid w:val="00F35A6E"/>
    <w:rsid w:val="00F5697B"/>
    <w:rsid w:val="00F6068C"/>
    <w:rsid w:val="00F71D05"/>
    <w:rsid w:val="00F76B63"/>
    <w:rsid w:val="00F77176"/>
    <w:rsid w:val="00F830CD"/>
    <w:rsid w:val="00F909E4"/>
    <w:rsid w:val="00F91181"/>
    <w:rsid w:val="00FA19A3"/>
    <w:rsid w:val="00FB6C61"/>
    <w:rsid w:val="00FC338F"/>
    <w:rsid w:val="00FD0F99"/>
    <w:rsid w:val="00FD2A2E"/>
    <w:rsid w:val="00FD5B11"/>
    <w:rsid w:val="00FE4159"/>
    <w:rsid w:val="00FE4331"/>
    <w:rsid w:val="00FF74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89971"/>
  <w15:chartTrackingRefBased/>
  <w15:docId w15:val="{0BEF567A-C2AB-4D8E-BE02-7D38531F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3FC"/>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243FC"/>
    <w:rPr>
      <w:rFonts w:ascii="細明體" w:eastAsia="細明體" w:hAnsi="Courier New"/>
      <w:szCs w:val="20"/>
    </w:rPr>
  </w:style>
  <w:style w:type="character" w:customStyle="1" w:styleId="a4">
    <w:name w:val="純文字 字元"/>
    <w:basedOn w:val="a0"/>
    <w:link w:val="a3"/>
    <w:rsid w:val="002243FC"/>
    <w:rPr>
      <w:rFonts w:ascii="細明體" w:eastAsia="細明體" w:hAnsi="Courier New" w:cs="Times New Roman"/>
      <w:szCs w:val="20"/>
    </w:rPr>
  </w:style>
  <w:style w:type="paragraph" w:styleId="a5">
    <w:name w:val="List Paragraph"/>
    <w:basedOn w:val="a"/>
    <w:uiPriority w:val="34"/>
    <w:qFormat/>
    <w:rsid w:val="00D86967"/>
    <w:pPr>
      <w:ind w:leftChars="200" w:left="480"/>
    </w:pPr>
  </w:style>
  <w:style w:type="paragraph" w:styleId="a6">
    <w:name w:val="header"/>
    <w:basedOn w:val="a"/>
    <w:link w:val="a7"/>
    <w:uiPriority w:val="99"/>
    <w:unhideWhenUsed/>
    <w:rsid w:val="00DC4425"/>
    <w:pPr>
      <w:tabs>
        <w:tab w:val="center" w:pos="4153"/>
        <w:tab w:val="right" w:pos="8306"/>
      </w:tabs>
      <w:snapToGrid w:val="0"/>
    </w:pPr>
    <w:rPr>
      <w:sz w:val="20"/>
      <w:szCs w:val="20"/>
    </w:rPr>
  </w:style>
  <w:style w:type="character" w:customStyle="1" w:styleId="a7">
    <w:name w:val="頁首 字元"/>
    <w:basedOn w:val="a0"/>
    <w:link w:val="a6"/>
    <w:uiPriority w:val="99"/>
    <w:rsid w:val="00DC4425"/>
    <w:rPr>
      <w:rFonts w:ascii="標楷體" w:eastAsia="標楷體" w:hAnsi="Calibri" w:cs="Times New Roman"/>
      <w:sz w:val="20"/>
      <w:szCs w:val="20"/>
    </w:rPr>
  </w:style>
  <w:style w:type="paragraph" w:styleId="a8">
    <w:name w:val="footer"/>
    <w:basedOn w:val="a"/>
    <w:link w:val="a9"/>
    <w:uiPriority w:val="99"/>
    <w:unhideWhenUsed/>
    <w:rsid w:val="00DC4425"/>
    <w:pPr>
      <w:tabs>
        <w:tab w:val="center" w:pos="4153"/>
        <w:tab w:val="right" w:pos="8306"/>
      </w:tabs>
      <w:snapToGrid w:val="0"/>
    </w:pPr>
    <w:rPr>
      <w:sz w:val="20"/>
      <w:szCs w:val="20"/>
    </w:rPr>
  </w:style>
  <w:style w:type="character" w:customStyle="1" w:styleId="a9">
    <w:name w:val="頁尾 字元"/>
    <w:basedOn w:val="a0"/>
    <w:link w:val="a8"/>
    <w:uiPriority w:val="99"/>
    <w:rsid w:val="00DC4425"/>
    <w:rPr>
      <w:rFonts w:ascii="標楷體" w:eastAsia="標楷體" w:hAnsi="Calibri" w:cs="Times New Roman"/>
      <w:sz w:val="20"/>
      <w:szCs w:val="20"/>
    </w:rPr>
  </w:style>
  <w:style w:type="character" w:styleId="aa">
    <w:name w:val="Hyperlink"/>
    <w:basedOn w:val="a0"/>
    <w:uiPriority w:val="99"/>
    <w:unhideWhenUsed/>
    <w:rsid w:val="00F91181"/>
    <w:rPr>
      <w:color w:val="0563C1" w:themeColor="hyperlink"/>
      <w:u w:val="single"/>
    </w:rPr>
  </w:style>
  <w:style w:type="character" w:styleId="ab">
    <w:name w:val="Unresolved Mention"/>
    <w:basedOn w:val="a0"/>
    <w:uiPriority w:val="99"/>
    <w:semiHidden/>
    <w:unhideWhenUsed/>
    <w:rsid w:val="00F91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322BD-DCCD-4530-8A5E-CE7582F7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6</Pages>
  <Words>977</Words>
  <Characters>5574</Characters>
  <Application>Microsoft Office Word</Application>
  <DocSecurity>0</DocSecurity>
  <Lines>46</Lines>
  <Paragraphs>13</Paragraphs>
  <ScaleCrop>false</ScaleCrop>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冠宏 鄭</dc:creator>
  <cp:keywords/>
  <dc:description/>
  <cp:lastModifiedBy>冠宏 鄭</cp:lastModifiedBy>
  <cp:revision>339</cp:revision>
  <dcterms:created xsi:type="dcterms:W3CDTF">2021-02-04T08:28:00Z</dcterms:created>
  <dcterms:modified xsi:type="dcterms:W3CDTF">2021-03-12T06:40:00Z</dcterms:modified>
</cp:coreProperties>
</file>