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97E" w:rsidRDefault="000C497E" w:rsidP="000C497E">
      <w:pPr>
        <w:pStyle w:val="Web"/>
        <w:shd w:val="clear" w:color="auto" w:fill="FFFFFF"/>
        <w:spacing w:before="0" w:beforeAutospacing="0" w:after="0" w:afterAutospacing="0" w:line="360" w:lineRule="atLeast"/>
        <w:textAlignment w:val="baseline"/>
        <w:rPr>
          <w:rFonts w:ascii="Open Sans" w:hAnsi="Open Sans" w:cs="Open Sans"/>
          <w:color w:val="000000"/>
          <w:sz w:val="21"/>
          <w:szCs w:val="21"/>
        </w:rPr>
      </w:pPr>
      <w:r>
        <w:rPr>
          <w:rFonts w:ascii="Open Sans" w:hAnsi="Open Sans" w:cs="Open Sans"/>
          <w:color w:val="000000"/>
          <w:sz w:val="21"/>
          <w:szCs w:val="21"/>
        </w:rPr>
        <w:t>修正「累積結存職工福利金」動支範圍、項目及比率</w:t>
      </w:r>
    </w:p>
    <w:p w:rsidR="000C497E" w:rsidRDefault="000C497E" w:rsidP="000C497E">
      <w:pPr>
        <w:pStyle w:val="Web"/>
        <w:shd w:val="clear" w:color="auto" w:fill="FFFFFF"/>
        <w:spacing w:before="0" w:beforeAutospacing="0" w:after="0" w:afterAutospacing="0" w:line="360" w:lineRule="atLeast"/>
        <w:textAlignment w:val="baseline"/>
        <w:rPr>
          <w:rFonts w:ascii="Open Sans" w:hAnsi="Open Sans" w:cs="Open Sans"/>
          <w:color w:val="000000"/>
          <w:sz w:val="21"/>
          <w:szCs w:val="21"/>
        </w:rPr>
      </w:pPr>
      <w:r>
        <w:rPr>
          <w:rFonts w:ascii="Open Sans" w:hAnsi="Open Sans" w:cs="Open Sans"/>
          <w:color w:val="000000"/>
          <w:sz w:val="21"/>
          <w:szCs w:val="21"/>
        </w:rPr>
        <w:t>（行政院勞工委員會</w:t>
      </w:r>
      <w:r>
        <w:rPr>
          <w:rFonts w:ascii="Open Sans" w:hAnsi="Open Sans" w:cs="Open Sans"/>
          <w:color w:val="000000"/>
          <w:sz w:val="21"/>
          <w:szCs w:val="21"/>
        </w:rPr>
        <w:t>95</w:t>
      </w:r>
      <w:r>
        <w:rPr>
          <w:rFonts w:ascii="Open Sans" w:hAnsi="Open Sans" w:cs="Open Sans"/>
          <w:color w:val="000000"/>
          <w:sz w:val="21"/>
          <w:szCs w:val="21"/>
        </w:rPr>
        <w:t>年</w:t>
      </w:r>
      <w:r>
        <w:rPr>
          <w:rFonts w:ascii="Open Sans" w:hAnsi="Open Sans" w:cs="Open Sans"/>
          <w:color w:val="000000"/>
          <w:sz w:val="21"/>
          <w:szCs w:val="21"/>
        </w:rPr>
        <w:t>11</w:t>
      </w:r>
      <w:r>
        <w:rPr>
          <w:rFonts w:ascii="Open Sans" w:hAnsi="Open Sans" w:cs="Open Sans"/>
          <w:color w:val="000000"/>
          <w:sz w:val="21"/>
          <w:szCs w:val="21"/>
        </w:rPr>
        <w:t>月</w:t>
      </w:r>
      <w:r>
        <w:rPr>
          <w:rFonts w:ascii="Open Sans" w:hAnsi="Open Sans" w:cs="Open Sans"/>
          <w:color w:val="000000"/>
          <w:sz w:val="21"/>
          <w:szCs w:val="21"/>
        </w:rPr>
        <w:t>23</w:t>
      </w:r>
      <w:r>
        <w:rPr>
          <w:rFonts w:ascii="Open Sans" w:hAnsi="Open Sans" w:cs="Open Sans"/>
          <w:color w:val="000000"/>
          <w:sz w:val="21"/>
          <w:szCs w:val="21"/>
        </w:rPr>
        <w:t>日</w:t>
      </w:r>
      <w:proofErr w:type="gramStart"/>
      <w:r>
        <w:rPr>
          <w:rFonts w:ascii="Open Sans" w:hAnsi="Open Sans" w:cs="Open Sans"/>
          <w:color w:val="000000"/>
          <w:sz w:val="21"/>
          <w:szCs w:val="21"/>
        </w:rPr>
        <w:t>勞</w:t>
      </w:r>
      <w:proofErr w:type="gramEnd"/>
      <w:r>
        <w:rPr>
          <w:rFonts w:ascii="Open Sans" w:hAnsi="Open Sans" w:cs="Open Sans"/>
          <w:color w:val="000000"/>
          <w:sz w:val="21"/>
          <w:szCs w:val="21"/>
        </w:rPr>
        <w:t>福</w:t>
      </w:r>
      <w:r>
        <w:rPr>
          <w:rFonts w:ascii="Open Sans" w:hAnsi="Open Sans" w:cs="Open Sans"/>
          <w:color w:val="000000"/>
          <w:sz w:val="21"/>
          <w:szCs w:val="21"/>
        </w:rPr>
        <w:t>1</w:t>
      </w:r>
      <w:r>
        <w:rPr>
          <w:rFonts w:ascii="Open Sans" w:hAnsi="Open Sans" w:cs="Open Sans"/>
          <w:color w:val="000000"/>
          <w:sz w:val="21"/>
          <w:szCs w:val="21"/>
        </w:rPr>
        <w:t>字第</w:t>
      </w:r>
      <w:r>
        <w:rPr>
          <w:rFonts w:ascii="Open Sans" w:hAnsi="Open Sans" w:cs="Open Sans"/>
          <w:color w:val="000000"/>
          <w:sz w:val="21"/>
          <w:szCs w:val="21"/>
        </w:rPr>
        <w:t>0950111310</w:t>
      </w:r>
      <w:r>
        <w:rPr>
          <w:rFonts w:ascii="Open Sans" w:hAnsi="Open Sans" w:cs="Open Sans"/>
          <w:color w:val="000000"/>
          <w:sz w:val="21"/>
          <w:szCs w:val="21"/>
        </w:rPr>
        <w:t>號令）</w:t>
      </w:r>
    </w:p>
    <w:p w:rsidR="000C497E" w:rsidRDefault="000C497E" w:rsidP="000C497E">
      <w:pPr>
        <w:pStyle w:val="Web"/>
        <w:shd w:val="clear" w:color="auto" w:fill="FFFFFF"/>
        <w:spacing w:before="0" w:beforeAutospacing="0" w:after="0" w:afterAutospacing="0" w:line="360" w:lineRule="atLeast"/>
        <w:textAlignment w:val="baseline"/>
        <w:rPr>
          <w:rFonts w:ascii="Open Sans" w:hAnsi="Open Sans" w:cs="Open Sans"/>
          <w:color w:val="000000"/>
          <w:sz w:val="21"/>
          <w:szCs w:val="21"/>
        </w:rPr>
      </w:pPr>
      <w:r>
        <w:rPr>
          <w:rFonts w:ascii="Open Sans" w:hAnsi="Open Sans" w:cs="Open Sans"/>
          <w:color w:val="000000"/>
          <w:sz w:val="21"/>
          <w:szCs w:val="21"/>
        </w:rPr>
        <w:t>核釋職工福利金條例第七條第一項規定「累積結存職工福利金」動支範圍、項目及比率如下：</w:t>
      </w:r>
    </w:p>
    <w:p w:rsidR="000C497E" w:rsidRDefault="000C497E" w:rsidP="000C497E">
      <w:pPr>
        <w:pStyle w:val="Web"/>
        <w:shd w:val="clear" w:color="auto" w:fill="FFFFFF"/>
        <w:spacing w:before="0" w:beforeAutospacing="0" w:after="0" w:afterAutospacing="0" w:line="360" w:lineRule="atLeast"/>
        <w:textAlignment w:val="baseline"/>
        <w:rPr>
          <w:rFonts w:ascii="Open Sans" w:hAnsi="Open Sans" w:cs="Open Sans"/>
          <w:color w:val="000000"/>
          <w:sz w:val="21"/>
          <w:szCs w:val="21"/>
        </w:rPr>
      </w:pPr>
      <w:r>
        <w:rPr>
          <w:rFonts w:ascii="Open Sans" w:hAnsi="Open Sans" w:cs="Open Sans"/>
          <w:color w:val="000000"/>
          <w:sz w:val="21"/>
          <w:szCs w:val="21"/>
        </w:rPr>
        <w:t>一、歷年累積結存職工福利金百分之五十範圍內得購買有價證券，並以下列各款之有價證券為限：</w:t>
      </w:r>
      <w:r>
        <w:rPr>
          <w:rFonts w:ascii="Open Sans" w:hAnsi="Open Sans" w:cs="Open Sans"/>
          <w:color w:val="000000"/>
          <w:sz w:val="21"/>
          <w:szCs w:val="21"/>
        </w:rPr>
        <w:br/>
        <w:t>(</w:t>
      </w:r>
      <w:proofErr w:type="gramStart"/>
      <w:r>
        <w:rPr>
          <w:rFonts w:ascii="Open Sans" w:hAnsi="Open Sans" w:cs="Open Sans"/>
          <w:color w:val="000000"/>
          <w:sz w:val="21"/>
          <w:szCs w:val="21"/>
        </w:rPr>
        <w:t>一</w:t>
      </w:r>
      <w:proofErr w:type="gramEnd"/>
      <w:r>
        <w:rPr>
          <w:rFonts w:ascii="Open Sans" w:hAnsi="Open Sans" w:cs="Open Sans"/>
          <w:color w:val="000000"/>
          <w:sz w:val="21"/>
          <w:szCs w:val="21"/>
        </w:rPr>
        <w:t>)</w:t>
      </w:r>
      <w:r>
        <w:rPr>
          <w:rFonts w:ascii="Open Sans" w:hAnsi="Open Sans" w:cs="Open Sans"/>
          <w:color w:val="000000"/>
          <w:sz w:val="21"/>
          <w:szCs w:val="21"/>
        </w:rPr>
        <w:t>公債。</w:t>
      </w:r>
      <w:r>
        <w:rPr>
          <w:rFonts w:ascii="Open Sans" w:hAnsi="Open Sans" w:cs="Open Sans"/>
          <w:color w:val="000000"/>
          <w:sz w:val="21"/>
          <w:szCs w:val="21"/>
        </w:rPr>
        <w:br/>
        <w:t>(</w:t>
      </w:r>
      <w:r>
        <w:rPr>
          <w:rFonts w:ascii="Open Sans" w:hAnsi="Open Sans" w:cs="Open Sans"/>
          <w:color w:val="000000"/>
          <w:sz w:val="21"/>
          <w:szCs w:val="21"/>
        </w:rPr>
        <w:t>二</w:t>
      </w:r>
      <w:r>
        <w:rPr>
          <w:rFonts w:ascii="Open Sans" w:hAnsi="Open Sans" w:cs="Open Sans"/>
          <w:color w:val="000000"/>
          <w:sz w:val="21"/>
          <w:szCs w:val="21"/>
        </w:rPr>
        <w:t>)</w:t>
      </w:r>
      <w:r>
        <w:rPr>
          <w:rFonts w:ascii="Open Sans" w:hAnsi="Open Sans" w:cs="Open Sans"/>
          <w:color w:val="000000"/>
          <w:sz w:val="21"/>
          <w:szCs w:val="21"/>
        </w:rPr>
        <w:t>國庫券。</w:t>
      </w:r>
      <w:r>
        <w:rPr>
          <w:rFonts w:ascii="Open Sans" w:hAnsi="Open Sans" w:cs="Open Sans"/>
          <w:color w:val="000000"/>
          <w:sz w:val="21"/>
          <w:szCs w:val="21"/>
        </w:rPr>
        <w:br/>
        <w:t>(</w:t>
      </w:r>
      <w:r>
        <w:rPr>
          <w:rFonts w:ascii="Open Sans" w:hAnsi="Open Sans" w:cs="Open Sans"/>
          <w:color w:val="000000"/>
          <w:sz w:val="21"/>
          <w:szCs w:val="21"/>
        </w:rPr>
        <w:t>三</w:t>
      </w:r>
      <w:r>
        <w:rPr>
          <w:rFonts w:ascii="Open Sans" w:hAnsi="Open Sans" w:cs="Open Sans"/>
          <w:color w:val="000000"/>
          <w:sz w:val="21"/>
          <w:szCs w:val="21"/>
        </w:rPr>
        <w:t>)</w:t>
      </w:r>
      <w:r>
        <w:rPr>
          <w:rFonts w:ascii="Open Sans" w:hAnsi="Open Sans" w:cs="Open Sans"/>
          <w:color w:val="000000"/>
          <w:sz w:val="21"/>
          <w:szCs w:val="21"/>
        </w:rPr>
        <w:t>可轉讓銀行定期存單。</w:t>
      </w:r>
      <w:r>
        <w:rPr>
          <w:rFonts w:ascii="Open Sans" w:hAnsi="Open Sans" w:cs="Open Sans"/>
          <w:color w:val="000000"/>
          <w:sz w:val="21"/>
          <w:szCs w:val="21"/>
        </w:rPr>
        <w:br/>
        <w:t>(</w:t>
      </w:r>
      <w:r>
        <w:rPr>
          <w:rFonts w:ascii="Open Sans" w:hAnsi="Open Sans" w:cs="Open Sans"/>
          <w:color w:val="000000"/>
          <w:sz w:val="21"/>
          <w:szCs w:val="21"/>
        </w:rPr>
        <w:t>四</w:t>
      </w:r>
      <w:r>
        <w:rPr>
          <w:rFonts w:ascii="Open Sans" w:hAnsi="Open Sans" w:cs="Open Sans"/>
          <w:color w:val="000000"/>
          <w:sz w:val="21"/>
          <w:szCs w:val="21"/>
        </w:rPr>
        <w:t>)</w:t>
      </w:r>
      <w:r>
        <w:rPr>
          <w:rFonts w:ascii="Open Sans" w:hAnsi="Open Sans" w:cs="Open Sans"/>
          <w:color w:val="000000"/>
          <w:sz w:val="21"/>
          <w:szCs w:val="21"/>
        </w:rPr>
        <w:t>銀行承兌匯票。</w:t>
      </w:r>
      <w:r>
        <w:rPr>
          <w:rFonts w:ascii="Open Sans" w:hAnsi="Open Sans" w:cs="Open Sans"/>
          <w:color w:val="000000"/>
          <w:sz w:val="21"/>
          <w:szCs w:val="21"/>
        </w:rPr>
        <w:br/>
        <w:t>(</w:t>
      </w:r>
      <w:r>
        <w:rPr>
          <w:rFonts w:ascii="Open Sans" w:hAnsi="Open Sans" w:cs="Open Sans"/>
          <w:color w:val="000000"/>
          <w:sz w:val="21"/>
          <w:szCs w:val="21"/>
        </w:rPr>
        <w:t>五</w:t>
      </w:r>
      <w:r>
        <w:rPr>
          <w:rFonts w:ascii="Open Sans" w:hAnsi="Open Sans" w:cs="Open Sans"/>
          <w:color w:val="000000"/>
          <w:sz w:val="21"/>
          <w:szCs w:val="21"/>
        </w:rPr>
        <w:t>)</w:t>
      </w:r>
      <w:r>
        <w:rPr>
          <w:rFonts w:ascii="Open Sans" w:hAnsi="Open Sans" w:cs="Open Sans"/>
          <w:color w:val="000000"/>
          <w:sz w:val="21"/>
          <w:szCs w:val="21"/>
        </w:rPr>
        <w:t>銀行或票</w:t>
      </w:r>
      <w:proofErr w:type="gramStart"/>
      <w:r>
        <w:rPr>
          <w:rFonts w:ascii="Open Sans" w:hAnsi="Open Sans" w:cs="Open Sans"/>
          <w:color w:val="000000"/>
          <w:sz w:val="21"/>
          <w:szCs w:val="21"/>
        </w:rPr>
        <w:t>券</w:t>
      </w:r>
      <w:proofErr w:type="gramEnd"/>
      <w:r>
        <w:rPr>
          <w:rFonts w:ascii="Open Sans" w:hAnsi="Open Sans" w:cs="Open Sans"/>
          <w:color w:val="000000"/>
          <w:sz w:val="21"/>
          <w:szCs w:val="21"/>
        </w:rPr>
        <w:t>金融公司保證發行之商業本票。</w:t>
      </w:r>
      <w:r>
        <w:rPr>
          <w:rFonts w:ascii="Open Sans" w:hAnsi="Open Sans" w:cs="Open Sans"/>
          <w:color w:val="000000"/>
          <w:sz w:val="21"/>
          <w:szCs w:val="21"/>
        </w:rPr>
        <w:br/>
        <w:t>(</w:t>
      </w:r>
      <w:r>
        <w:rPr>
          <w:rFonts w:ascii="Open Sans" w:hAnsi="Open Sans" w:cs="Open Sans"/>
          <w:color w:val="000000"/>
          <w:sz w:val="21"/>
          <w:szCs w:val="21"/>
        </w:rPr>
        <w:t>六</w:t>
      </w:r>
      <w:r>
        <w:rPr>
          <w:rFonts w:ascii="Open Sans" w:hAnsi="Open Sans" w:cs="Open Sans"/>
          <w:color w:val="000000"/>
          <w:sz w:val="21"/>
          <w:szCs w:val="21"/>
        </w:rPr>
        <w:t>)</w:t>
      </w:r>
      <w:r>
        <w:rPr>
          <w:rFonts w:ascii="Open Sans" w:hAnsi="Open Sans" w:cs="Open Sans"/>
          <w:color w:val="000000"/>
          <w:sz w:val="21"/>
          <w:szCs w:val="21"/>
        </w:rPr>
        <w:t>金融機構發行之金融債券。</w:t>
      </w:r>
      <w:r>
        <w:rPr>
          <w:rFonts w:ascii="Open Sans" w:hAnsi="Open Sans" w:cs="Open Sans"/>
          <w:color w:val="000000"/>
          <w:sz w:val="21"/>
          <w:szCs w:val="21"/>
        </w:rPr>
        <w:br/>
        <w:t>(</w:t>
      </w:r>
      <w:r>
        <w:rPr>
          <w:rFonts w:ascii="Open Sans" w:hAnsi="Open Sans" w:cs="Open Sans"/>
          <w:color w:val="000000"/>
          <w:sz w:val="21"/>
          <w:szCs w:val="21"/>
        </w:rPr>
        <w:t>七</w:t>
      </w:r>
      <w:r>
        <w:rPr>
          <w:rFonts w:ascii="Open Sans" w:hAnsi="Open Sans" w:cs="Open Sans"/>
          <w:color w:val="000000"/>
          <w:sz w:val="21"/>
          <w:szCs w:val="21"/>
        </w:rPr>
        <w:t>)</w:t>
      </w:r>
      <w:r>
        <w:rPr>
          <w:rFonts w:ascii="Open Sans" w:hAnsi="Open Sans" w:cs="Open Sans"/>
          <w:color w:val="000000"/>
          <w:sz w:val="21"/>
          <w:szCs w:val="21"/>
        </w:rPr>
        <w:t>股票型基金或指數股票型基金。</w:t>
      </w:r>
      <w:r>
        <w:rPr>
          <w:rFonts w:ascii="Open Sans" w:hAnsi="Open Sans" w:cs="Open Sans"/>
          <w:color w:val="000000"/>
          <w:sz w:val="21"/>
          <w:szCs w:val="21"/>
        </w:rPr>
        <w:br/>
      </w:r>
      <w:r>
        <w:rPr>
          <w:rFonts w:ascii="Open Sans" w:hAnsi="Open Sans" w:cs="Open Sans"/>
          <w:color w:val="000000"/>
          <w:sz w:val="21"/>
          <w:szCs w:val="21"/>
        </w:rPr>
        <w:t>事業單位職工福利委員會購買前項有價證券，限已登記「財團法人」者。</w:t>
      </w:r>
      <w:r>
        <w:rPr>
          <w:rFonts w:ascii="Open Sans" w:hAnsi="Open Sans" w:cs="Open Sans"/>
          <w:color w:val="000000"/>
          <w:sz w:val="21"/>
          <w:szCs w:val="21"/>
        </w:rPr>
        <w:br/>
      </w:r>
      <w:r>
        <w:rPr>
          <w:rFonts w:ascii="Open Sans" w:hAnsi="Open Sans" w:cs="Open Sans"/>
          <w:color w:val="000000"/>
          <w:sz w:val="21"/>
          <w:szCs w:val="21"/>
        </w:rPr>
        <w:t>前項第七款股票型基金或指數股票型基金之購買，限累積結存職工福利金超過一億元以上之職工福利委員會。購買股票型基金或指數股票型基金之金額以歷年累積結存職工福利金之百分之十為限，並不得超過新台幣三千萬元。</w:t>
      </w:r>
    </w:p>
    <w:p w:rsidR="000C497E" w:rsidRDefault="000C497E" w:rsidP="000C497E">
      <w:pPr>
        <w:pStyle w:val="Web"/>
        <w:shd w:val="clear" w:color="auto" w:fill="FFFFFF"/>
        <w:spacing w:before="0" w:beforeAutospacing="0" w:after="0" w:afterAutospacing="0" w:line="360" w:lineRule="atLeast"/>
        <w:textAlignment w:val="baseline"/>
        <w:rPr>
          <w:rFonts w:ascii="Open Sans" w:hAnsi="Open Sans" w:cs="Open Sans"/>
          <w:color w:val="000000"/>
          <w:sz w:val="21"/>
          <w:szCs w:val="21"/>
        </w:rPr>
      </w:pPr>
      <w:r>
        <w:rPr>
          <w:rFonts w:ascii="Open Sans" w:hAnsi="Open Sans" w:cs="Open Sans"/>
          <w:color w:val="000000"/>
          <w:sz w:val="21"/>
          <w:szCs w:val="21"/>
        </w:rPr>
        <w:t>第一項第四款至第六款之有價證券，須為經財政部認可之信用評等機構評等達一定等級以上之公司所發行者。</w:t>
      </w:r>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rPr>
        <w:t>二、有價證券之購買及處分應依下列規定辦理：</w:t>
      </w:r>
      <w:r>
        <w:rPr>
          <w:rFonts w:ascii="Open Sans" w:hAnsi="Open Sans" w:cs="Open Sans"/>
          <w:color w:val="000000"/>
          <w:sz w:val="21"/>
          <w:szCs w:val="21"/>
        </w:rPr>
        <w:br/>
        <w:t>(</w:t>
      </w:r>
      <w:proofErr w:type="gramStart"/>
      <w:r>
        <w:rPr>
          <w:rFonts w:ascii="Open Sans" w:hAnsi="Open Sans" w:cs="Open Sans"/>
          <w:color w:val="000000"/>
          <w:sz w:val="21"/>
          <w:szCs w:val="21"/>
        </w:rPr>
        <w:t>一</w:t>
      </w:r>
      <w:proofErr w:type="gramEnd"/>
      <w:r>
        <w:rPr>
          <w:rFonts w:ascii="Open Sans" w:hAnsi="Open Sans" w:cs="Open Sans"/>
          <w:color w:val="000000"/>
          <w:sz w:val="21"/>
          <w:szCs w:val="21"/>
        </w:rPr>
        <w:t>)</w:t>
      </w:r>
      <w:r>
        <w:rPr>
          <w:rFonts w:ascii="Open Sans" w:hAnsi="Open Sans" w:cs="Open Sans"/>
          <w:color w:val="000000"/>
          <w:sz w:val="21"/>
          <w:szCs w:val="21"/>
        </w:rPr>
        <w:t>事業單位職工福利委員會購買有價證券，須經職工福利委員會之委員三分之二出席，出席委員二分之一同意始可購買，處分時亦同。購買股票型基金或指數股票型基金者，其購買及處分之決策，如標的、價格區間、購買或處分理由，及相關投資辦法，須經出席委員三分之二同意後始得執行。</w:t>
      </w:r>
      <w:r>
        <w:rPr>
          <w:rFonts w:ascii="Open Sans" w:hAnsi="Open Sans" w:cs="Open Sans"/>
          <w:color w:val="000000"/>
          <w:sz w:val="21"/>
          <w:szCs w:val="21"/>
        </w:rPr>
        <w:br/>
      </w:r>
      <w:r>
        <w:rPr>
          <w:rFonts w:ascii="Open Sans" w:hAnsi="Open Sans" w:cs="Open Sans"/>
          <w:color w:val="000000"/>
          <w:sz w:val="21"/>
          <w:szCs w:val="21"/>
        </w:rPr>
        <w:br/>
        <w:t>(</w:t>
      </w:r>
      <w:r>
        <w:rPr>
          <w:rFonts w:ascii="Open Sans" w:hAnsi="Open Sans" w:cs="Open Sans"/>
          <w:color w:val="000000"/>
          <w:sz w:val="21"/>
          <w:szCs w:val="21"/>
        </w:rPr>
        <w:t>二</w:t>
      </w:r>
      <w:r>
        <w:rPr>
          <w:rFonts w:ascii="Open Sans" w:hAnsi="Open Sans" w:cs="Open Sans"/>
          <w:color w:val="000000"/>
          <w:sz w:val="21"/>
          <w:szCs w:val="21"/>
        </w:rPr>
        <w:t>)</w:t>
      </w:r>
      <w:r>
        <w:rPr>
          <w:rFonts w:ascii="Open Sans" w:hAnsi="Open Sans" w:cs="Open Sans"/>
          <w:color w:val="000000"/>
          <w:sz w:val="21"/>
          <w:szCs w:val="21"/>
        </w:rPr>
        <w:t>前開相關投資辦法應包含投資小組之成立（以下簡稱小組）、小組設置及建立投資評估、管理、停損及投資決策流程等機制。小組成員應具有基金投資專業能力。投資決策流程應包含投資分析、投資決策（含風險控管）、投資執行及投資檢討。</w:t>
      </w:r>
      <w:r>
        <w:rPr>
          <w:rFonts w:ascii="Open Sans" w:hAnsi="Open Sans" w:cs="Open Sans"/>
          <w:color w:val="000000"/>
          <w:sz w:val="21"/>
          <w:szCs w:val="21"/>
        </w:rPr>
        <w:br/>
      </w:r>
      <w:r>
        <w:rPr>
          <w:rFonts w:ascii="Open Sans" w:hAnsi="Open Sans" w:cs="Open Sans"/>
          <w:color w:val="000000"/>
          <w:sz w:val="21"/>
          <w:szCs w:val="21"/>
        </w:rPr>
        <w:t>小組應定期將購買股票型基金或指數股票型基金之種類、金額及收益等事項，提報職工福利委員會。</w:t>
      </w:r>
      <w:r>
        <w:rPr>
          <w:rFonts w:ascii="Open Sans" w:hAnsi="Open Sans" w:cs="Open Sans"/>
          <w:color w:val="000000"/>
          <w:sz w:val="21"/>
          <w:szCs w:val="21"/>
        </w:rPr>
        <w:br/>
      </w:r>
      <w:r>
        <w:rPr>
          <w:rFonts w:ascii="Open Sans" w:hAnsi="Open Sans" w:cs="Open Sans"/>
          <w:color w:val="000000"/>
          <w:sz w:val="21"/>
          <w:szCs w:val="21"/>
        </w:rPr>
        <w:br/>
        <w:t>(</w:t>
      </w:r>
      <w:r>
        <w:rPr>
          <w:rFonts w:ascii="Open Sans" w:hAnsi="Open Sans" w:cs="Open Sans"/>
          <w:color w:val="000000"/>
          <w:sz w:val="21"/>
          <w:szCs w:val="21"/>
        </w:rPr>
        <w:t>三</w:t>
      </w:r>
      <w:r>
        <w:rPr>
          <w:rFonts w:ascii="Open Sans" w:hAnsi="Open Sans" w:cs="Open Sans"/>
          <w:color w:val="000000"/>
          <w:sz w:val="21"/>
          <w:szCs w:val="21"/>
        </w:rPr>
        <w:t>)</w:t>
      </w:r>
      <w:r>
        <w:rPr>
          <w:rFonts w:ascii="Open Sans" w:hAnsi="Open Sans" w:cs="Open Sans"/>
          <w:color w:val="000000"/>
          <w:sz w:val="21"/>
          <w:szCs w:val="21"/>
        </w:rPr>
        <w:t>累積結存職工福利金購買有價證券利害關係人之限制：</w:t>
      </w:r>
      <w:r>
        <w:rPr>
          <w:rFonts w:ascii="Open Sans" w:hAnsi="Open Sans" w:cs="Open Sans"/>
          <w:color w:val="000000"/>
          <w:sz w:val="21"/>
          <w:szCs w:val="21"/>
        </w:rPr>
        <w:br/>
      </w:r>
      <w:r>
        <w:rPr>
          <w:rFonts w:ascii="Open Sans" w:hAnsi="Open Sans" w:cs="Open Sans"/>
          <w:color w:val="000000"/>
          <w:sz w:val="21"/>
          <w:szCs w:val="21"/>
        </w:rPr>
        <w:t>１、職工福利金不得購買本事業單位或與事業單位有利害關係之公司所發</w:t>
      </w:r>
      <w:r>
        <w:rPr>
          <w:rFonts w:ascii="Open Sans" w:hAnsi="Open Sans" w:cs="Open Sans"/>
          <w:color w:val="000000"/>
          <w:sz w:val="21"/>
          <w:szCs w:val="21"/>
        </w:rPr>
        <w:br/>
      </w:r>
      <w:r>
        <w:rPr>
          <w:rFonts w:ascii="Open Sans" w:hAnsi="Open Sans" w:cs="Open Sans"/>
          <w:color w:val="000000"/>
          <w:sz w:val="21"/>
          <w:szCs w:val="21"/>
        </w:rPr>
        <w:t>行之證券。</w:t>
      </w:r>
      <w:r>
        <w:rPr>
          <w:rFonts w:ascii="Open Sans" w:hAnsi="Open Sans" w:cs="Open Sans"/>
          <w:color w:val="000000"/>
          <w:sz w:val="21"/>
          <w:szCs w:val="21"/>
        </w:rPr>
        <w:br/>
      </w:r>
      <w:r>
        <w:rPr>
          <w:rFonts w:ascii="Open Sans" w:hAnsi="Open Sans" w:cs="Open Sans"/>
          <w:color w:val="000000"/>
          <w:sz w:val="21"/>
          <w:szCs w:val="21"/>
        </w:rPr>
        <w:t>２、所稱利害關係之公司，指有下列情事之</w:t>
      </w:r>
      <w:proofErr w:type="gramStart"/>
      <w:r>
        <w:rPr>
          <w:rFonts w:ascii="Open Sans" w:hAnsi="Open Sans" w:cs="Open Sans"/>
          <w:color w:val="000000"/>
          <w:sz w:val="21"/>
          <w:szCs w:val="21"/>
        </w:rPr>
        <w:t>一</w:t>
      </w:r>
      <w:proofErr w:type="gramEnd"/>
      <w:r>
        <w:rPr>
          <w:rFonts w:ascii="Open Sans" w:hAnsi="Open Sans" w:cs="Open Sans"/>
          <w:color w:val="000000"/>
          <w:sz w:val="21"/>
          <w:szCs w:val="21"/>
        </w:rPr>
        <w:t>之公司：</w:t>
      </w:r>
      <w:r>
        <w:rPr>
          <w:rFonts w:ascii="Open Sans" w:hAnsi="Open Sans" w:cs="Open Sans"/>
          <w:color w:val="000000"/>
          <w:sz w:val="21"/>
          <w:szCs w:val="21"/>
        </w:rPr>
        <w:br/>
        <w:t>(</w:t>
      </w:r>
      <w:r>
        <w:rPr>
          <w:rFonts w:ascii="Open Sans" w:hAnsi="Open Sans" w:cs="Open Sans"/>
          <w:color w:val="000000"/>
          <w:sz w:val="21"/>
          <w:szCs w:val="21"/>
        </w:rPr>
        <w:t>１</w:t>
      </w:r>
      <w:r>
        <w:rPr>
          <w:rFonts w:ascii="Open Sans" w:hAnsi="Open Sans" w:cs="Open Sans"/>
          <w:color w:val="000000"/>
          <w:sz w:val="21"/>
          <w:szCs w:val="21"/>
        </w:rPr>
        <w:t>)</w:t>
      </w:r>
      <w:r>
        <w:rPr>
          <w:rFonts w:ascii="Open Sans" w:hAnsi="Open Sans" w:cs="Open Sans"/>
          <w:color w:val="000000"/>
          <w:sz w:val="21"/>
          <w:szCs w:val="21"/>
        </w:rPr>
        <w:t>與本事業單位具有公司法第六章之一所定關係者。</w:t>
      </w:r>
      <w:r>
        <w:rPr>
          <w:rFonts w:ascii="Open Sans" w:hAnsi="Open Sans" w:cs="Open Sans"/>
          <w:color w:val="000000"/>
          <w:sz w:val="21"/>
          <w:szCs w:val="21"/>
        </w:rPr>
        <w:br/>
        <w:t>(</w:t>
      </w:r>
      <w:r>
        <w:rPr>
          <w:rFonts w:ascii="Open Sans" w:hAnsi="Open Sans" w:cs="Open Sans"/>
          <w:color w:val="000000"/>
          <w:sz w:val="21"/>
          <w:szCs w:val="21"/>
        </w:rPr>
        <w:t>２</w:t>
      </w:r>
      <w:r>
        <w:rPr>
          <w:rFonts w:ascii="Open Sans" w:hAnsi="Open Sans" w:cs="Open Sans"/>
          <w:color w:val="000000"/>
          <w:sz w:val="21"/>
          <w:szCs w:val="21"/>
        </w:rPr>
        <w:t>)</w:t>
      </w:r>
      <w:r>
        <w:rPr>
          <w:rFonts w:ascii="Open Sans" w:hAnsi="Open Sans" w:cs="Open Sans"/>
          <w:color w:val="000000"/>
          <w:sz w:val="21"/>
          <w:szCs w:val="21"/>
        </w:rPr>
        <w:t>本事業單位之董事、監察人或綜合持股達他公司股份百分之五以上者，該他公司為利</w:t>
      </w:r>
      <w:r>
        <w:rPr>
          <w:rFonts w:ascii="Open Sans" w:hAnsi="Open Sans" w:cs="Open Sans"/>
          <w:color w:val="000000"/>
          <w:sz w:val="21"/>
          <w:szCs w:val="21"/>
        </w:rPr>
        <w:lastRenderedPageBreak/>
        <w:t>害關係公司。</w:t>
      </w:r>
      <w:r>
        <w:rPr>
          <w:rFonts w:ascii="Open Sans" w:hAnsi="Open Sans" w:cs="Open Sans"/>
          <w:color w:val="000000"/>
          <w:sz w:val="21"/>
          <w:szCs w:val="21"/>
        </w:rPr>
        <w:br/>
        <w:t>(</w:t>
      </w:r>
      <w:r>
        <w:rPr>
          <w:rFonts w:ascii="Open Sans" w:hAnsi="Open Sans" w:cs="Open Sans"/>
          <w:color w:val="000000"/>
          <w:sz w:val="21"/>
          <w:szCs w:val="21"/>
        </w:rPr>
        <w:t>３</w:t>
      </w:r>
      <w:r>
        <w:rPr>
          <w:rFonts w:ascii="Open Sans" w:hAnsi="Open Sans" w:cs="Open Sans"/>
          <w:color w:val="000000"/>
          <w:sz w:val="21"/>
          <w:szCs w:val="21"/>
        </w:rPr>
        <w:t>)</w:t>
      </w:r>
      <w:r>
        <w:rPr>
          <w:rFonts w:ascii="Open Sans" w:hAnsi="Open Sans" w:cs="Open Sans"/>
          <w:color w:val="000000"/>
          <w:sz w:val="21"/>
          <w:szCs w:val="21"/>
        </w:rPr>
        <w:t>本事業單位董事、監察人或經理人與他公司之董事、監察人、經理人或持有已發行股份百分之十以上股東為同一人或具有配偶關係者，該他公司為利害關係公司。</w:t>
      </w:r>
      <w:r>
        <w:rPr>
          <w:rFonts w:ascii="Open Sans" w:hAnsi="Open Sans" w:cs="Open Sans"/>
          <w:color w:val="000000"/>
          <w:sz w:val="21"/>
          <w:szCs w:val="21"/>
        </w:rPr>
        <w:br/>
      </w:r>
      <w:r>
        <w:rPr>
          <w:rFonts w:ascii="Open Sans" w:hAnsi="Open Sans" w:cs="Open Sans"/>
          <w:color w:val="000000"/>
          <w:sz w:val="21"/>
          <w:szCs w:val="21"/>
        </w:rPr>
        <w:t>董事、監察人為法人者，其代表或指定代表行使職務者，</w:t>
      </w:r>
      <w:proofErr w:type="gramStart"/>
      <w:r>
        <w:rPr>
          <w:rFonts w:ascii="Open Sans" w:hAnsi="Open Sans" w:cs="Open Sans"/>
          <w:color w:val="000000"/>
          <w:sz w:val="21"/>
          <w:szCs w:val="21"/>
        </w:rPr>
        <w:t>準</w:t>
      </w:r>
      <w:proofErr w:type="gramEnd"/>
      <w:r>
        <w:rPr>
          <w:rFonts w:ascii="Open Sans" w:hAnsi="Open Sans" w:cs="Open Sans"/>
          <w:color w:val="000000"/>
          <w:sz w:val="21"/>
          <w:szCs w:val="21"/>
        </w:rPr>
        <w:t>用前項第</w:t>
      </w:r>
      <w:r>
        <w:rPr>
          <w:rFonts w:ascii="Open Sans" w:hAnsi="Open Sans" w:cs="Open Sans"/>
          <w:color w:val="000000"/>
          <w:sz w:val="21"/>
          <w:szCs w:val="21"/>
        </w:rPr>
        <w:br/>
      </w:r>
      <w:r>
        <w:rPr>
          <w:rFonts w:ascii="Open Sans" w:hAnsi="Open Sans" w:cs="Open Sans"/>
          <w:color w:val="000000"/>
          <w:sz w:val="21"/>
          <w:szCs w:val="21"/>
        </w:rPr>
        <w:t>二款之規定。</w:t>
      </w:r>
      <w:r>
        <w:rPr>
          <w:rFonts w:ascii="Open Sans" w:hAnsi="Open Sans" w:cs="Open Sans"/>
          <w:color w:val="000000"/>
          <w:sz w:val="21"/>
          <w:szCs w:val="21"/>
        </w:rPr>
        <w:br/>
      </w:r>
      <w:r>
        <w:rPr>
          <w:rFonts w:ascii="Open Sans" w:hAnsi="Open Sans" w:cs="Open Sans"/>
          <w:color w:val="000000"/>
          <w:sz w:val="21"/>
          <w:szCs w:val="21"/>
        </w:rPr>
        <w:t>３、職工福利金不得購買含前開利害關係公司所發行之股票型基金或指數</w:t>
      </w:r>
      <w:r>
        <w:rPr>
          <w:rFonts w:ascii="Open Sans" w:hAnsi="Open Sans" w:cs="Open Sans"/>
          <w:color w:val="000000"/>
          <w:sz w:val="21"/>
          <w:szCs w:val="21"/>
        </w:rPr>
        <w:br/>
      </w:r>
      <w:r>
        <w:rPr>
          <w:rFonts w:ascii="Open Sans" w:hAnsi="Open Sans" w:cs="Open Sans"/>
          <w:color w:val="000000"/>
          <w:sz w:val="21"/>
          <w:szCs w:val="21"/>
        </w:rPr>
        <w:t>股票型基金。</w:t>
      </w:r>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color w:val="000000"/>
          <w:sz w:val="21"/>
          <w:szCs w:val="21"/>
        </w:rPr>
        <w:t>三、事業單位職工福利委員會購買有價證券，因過失致職工福利金受損失時，由全體職工福利委員會委員負賠償責任。投資因小組成員之過失致職工福利金受損失時，依民法負損害賠償責任。</w:t>
      </w:r>
    </w:p>
    <w:p w:rsidR="004147CD" w:rsidRPr="000C497E" w:rsidRDefault="004147CD">
      <w:bookmarkStart w:id="0" w:name="_GoBack"/>
      <w:bookmarkEnd w:id="0"/>
    </w:p>
    <w:sectPr w:rsidR="004147CD" w:rsidRPr="000C49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1D"/>
    <w:rsid w:val="000C497E"/>
    <w:rsid w:val="0010461D"/>
    <w:rsid w:val="00414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5F713-F394-4E3A-8DEE-21251D32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97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林愷</dc:creator>
  <cp:keywords/>
  <dc:description/>
  <cp:lastModifiedBy>林愷</cp:lastModifiedBy>
  <cp:revision>3</cp:revision>
  <dcterms:created xsi:type="dcterms:W3CDTF">2022-07-20T01:00:00Z</dcterms:created>
  <dcterms:modified xsi:type="dcterms:W3CDTF">2022-07-20T01:00:00Z</dcterms:modified>
</cp:coreProperties>
</file>